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06759" w14:textId="77777777" w:rsidR="00FD1C5C" w:rsidRDefault="00FD1C5C">
      <w:pPr>
        <w:pStyle w:val="10"/>
        <w:spacing w:before="0"/>
        <w:jc w:val="center"/>
        <w:rPr>
          <w:rFonts w:ascii="Times New Roman" w:hAnsi="Times New Roman"/>
          <w:color w:val="000000"/>
          <w:sz w:val="24"/>
        </w:rPr>
      </w:pPr>
    </w:p>
    <w:p w14:paraId="1E699E3F" w14:textId="50B81E5A" w:rsidR="00FD1C5C" w:rsidRDefault="00B37A04">
      <w:pPr>
        <w:pStyle w:val="10"/>
        <w:spacing w:befor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ПАСПОРТ УСЛУГИ (ПРОЦЕССА) </w:t>
      </w:r>
      <w:r w:rsidR="00AB5588">
        <w:rPr>
          <w:rFonts w:ascii="Times New Roman" w:hAnsi="Times New Roman"/>
          <w:color w:val="000000"/>
          <w:sz w:val="24"/>
        </w:rPr>
        <w:t>АО «ВГЭС»</w:t>
      </w:r>
    </w:p>
    <w:p w14:paraId="54E8935A" w14:textId="77777777" w:rsidR="00FD1C5C" w:rsidRDefault="00B37A04">
      <w:pPr>
        <w:spacing w:after="0" w:line="240" w:lineRule="auto"/>
        <w:jc w:val="center"/>
        <w:rPr>
          <w:rFonts w:ascii="Times New Roman" w:hAnsi="Times New Roman"/>
          <w:b/>
          <w:color w:val="548DD4" w:themeColor="text2" w:themeTint="99"/>
          <w:sz w:val="24"/>
        </w:rPr>
      </w:pPr>
      <w:r>
        <w:rPr>
          <w:rFonts w:ascii="Times New Roman" w:hAnsi="Times New Roman"/>
          <w:b/>
          <w:color w:val="548DD4" w:themeColor="text2" w:themeTint="99"/>
          <w:sz w:val="24"/>
        </w:rPr>
        <w:t xml:space="preserve">КОД 2.1.1 ТЕХНОЛОГИЧЕСКОЕ ПРИСОЕДИНЕНИЕ К ЭЛЕКТРИЧЕСКИМ СЕТЯМ </w:t>
      </w:r>
    </w:p>
    <w:p w14:paraId="7969D3EF" w14:textId="77777777" w:rsidR="00FD1C5C" w:rsidRDefault="00B37A04">
      <w:pPr>
        <w:spacing w:after="0" w:line="240" w:lineRule="auto"/>
        <w:jc w:val="center"/>
        <w:rPr>
          <w:rFonts w:ascii="Times New Roman" w:hAnsi="Times New Roman"/>
          <w:b/>
          <w:color w:val="548DD4" w:themeColor="text2" w:themeTint="99"/>
          <w:sz w:val="24"/>
        </w:rPr>
      </w:pPr>
      <w:r>
        <w:rPr>
          <w:rFonts w:ascii="Times New Roman" w:hAnsi="Times New Roman"/>
          <w:b/>
          <w:color w:val="548DD4" w:themeColor="text2" w:themeTint="99"/>
          <w:sz w:val="24"/>
        </w:rPr>
        <w:t>энергопринимающих устройств (микрогенерации)</w:t>
      </w:r>
    </w:p>
    <w:p w14:paraId="6BF47BC5" w14:textId="77777777" w:rsidR="00FD1C5C" w:rsidRDefault="00B37A04">
      <w:pPr>
        <w:spacing w:after="0" w:line="240" w:lineRule="auto"/>
        <w:jc w:val="center"/>
        <w:rPr>
          <w:rFonts w:ascii="Times New Roman" w:hAnsi="Times New Roman"/>
          <w:b/>
          <w:color w:val="548DD4" w:themeColor="text2" w:themeTint="99"/>
          <w:sz w:val="24"/>
        </w:rPr>
      </w:pPr>
      <w:r>
        <w:rPr>
          <w:rFonts w:ascii="Times New Roman" w:hAnsi="Times New Roman"/>
          <w:b/>
          <w:color w:val="548DD4" w:themeColor="text2" w:themeTint="99"/>
          <w:sz w:val="24"/>
        </w:rPr>
        <w:t xml:space="preserve"> физических лиц с максимальной мощностью до 15 кВт 3 категория надежности, </w:t>
      </w:r>
    </w:p>
    <w:p w14:paraId="1D3D2FD3" w14:textId="77777777" w:rsidR="00FD1C5C" w:rsidRDefault="00B37A04">
      <w:pPr>
        <w:spacing w:after="0" w:line="240" w:lineRule="auto"/>
        <w:jc w:val="center"/>
        <w:rPr>
          <w:rFonts w:ascii="Times New Roman" w:hAnsi="Times New Roman"/>
          <w:b/>
          <w:color w:val="548DD4" w:themeColor="text2" w:themeTint="99"/>
          <w:sz w:val="24"/>
        </w:rPr>
      </w:pPr>
      <w:r>
        <w:rPr>
          <w:rFonts w:ascii="Times New Roman" w:hAnsi="Times New Roman"/>
          <w:b/>
          <w:color w:val="548DD4" w:themeColor="text2" w:themeTint="99"/>
          <w:sz w:val="24"/>
        </w:rPr>
        <w:t xml:space="preserve">юридических лиц и индивидуальных предпринимателей с максимальной мощностью до 150 кВт 2,3 категории надежности </w:t>
      </w:r>
    </w:p>
    <w:p w14:paraId="4F6083D9" w14:textId="77777777" w:rsidR="00FD1C5C" w:rsidRDefault="00FD1C5C">
      <w:pPr>
        <w:pStyle w:val="ConsPlusNonformat"/>
        <w:rPr>
          <w:rFonts w:ascii="Times New Roman" w:hAnsi="Times New Roman"/>
          <w:sz w:val="24"/>
        </w:rPr>
      </w:pPr>
    </w:p>
    <w:p w14:paraId="44AEFFA3" w14:textId="77777777" w:rsidR="00FD1C5C" w:rsidRDefault="00B37A0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548DD4" w:themeColor="text2" w:themeTint="99"/>
          <w:sz w:val="24"/>
        </w:rPr>
        <w:t xml:space="preserve">КРУГ ЗАЯВИТЕЛЕЙ: </w:t>
      </w:r>
      <w:r>
        <w:rPr>
          <w:rFonts w:ascii="Times New Roman" w:hAnsi="Times New Roman"/>
          <w:sz w:val="24"/>
        </w:rPr>
        <w:t>физические лица в целях технологического присоединения энергопринимающих устройств, максимальная мощность которых составляет до 15 кВт включительно (с учетом ранее присоединенных в данной точке присоединения энергопринимающих устройств), которые используются для бытовых и иных нужд, не связанных с осуществлением предпринимательской деятельности, и электроснабжение которых предусматривается по одному источнику. Юридические лица или индивидуальные предприниматели в целях технологического присоединения по второй или третьей категории надежности энергопринимающих устройств, максимальная мощность которых составляет до 150 кВт включительно.</w:t>
      </w:r>
    </w:p>
    <w:p w14:paraId="0891E7F6" w14:textId="77777777" w:rsidR="00FD1C5C" w:rsidRDefault="00B37A0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b/>
          <w:color w:val="548DD4" w:themeColor="text2" w:themeTint="99"/>
          <w:sz w:val="24"/>
        </w:rPr>
        <w:t>РАЗМЕР ПЛАТЫ ЗА ПРЕДОСТАВЛЕНИЕ УСЛУГИ (ПРОЦЕССА) И ОСНОВАНИЕ ЕЕ ВЗИМАНИЯ</w:t>
      </w:r>
      <w:r>
        <w:rPr>
          <w:rFonts w:ascii="Times New Roman" w:hAnsi="Times New Roman"/>
          <w:b/>
          <w:color w:val="000000" w:themeColor="text1"/>
          <w:sz w:val="24"/>
        </w:rPr>
        <w:t xml:space="preserve">: </w:t>
      </w:r>
      <w:r>
        <w:rPr>
          <w:rFonts w:ascii="Times New Roman" w:hAnsi="Times New Roman"/>
          <w:color w:val="000000" w:themeColor="text1"/>
          <w:sz w:val="24"/>
        </w:rPr>
        <w:t xml:space="preserve">для заявителей физических лиц присоединяющих энергопринимающие устройства и (или) объекты микрогенерации с мощность до 15 кВт, для обеспечения бытовых нужд по 3 категории надежности и уровне напряжения 0,4 </w:t>
      </w:r>
      <w:proofErr w:type="spellStart"/>
      <w:r>
        <w:rPr>
          <w:rFonts w:ascii="Times New Roman" w:hAnsi="Times New Roman"/>
          <w:color w:val="000000" w:themeColor="text1"/>
          <w:sz w:val="24"/>
        </w:rPr>
        <w:t>кВ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и ниже, при расстоянии до ближайших сетей сетевой организации не далее 300/500 метров в городской/сельской местности соответственно размер платы за ТП определяется исходя из наименьшего расчета за 1 кВт запрашиваемой максимальной мощности либо по стандартизированной тарифной ставке.  </w:t>
      </w:r>
    </w:p>
    <w:p w14:paraId="607C7061" w14:textId="77777777" w:rsidR="00FD1C5C" w:rsidRDefault="00B37A04">
      <w:pPr>
        <w:pStyle w:val="af8"/>
        <w:widowControl/>
        <w:ind w:right="191" w:firstLine="709"/>
        <w:jc w:val="both"/>
        <w:rPr>
          <w:sz w:val="24"/>
        </w:rPr>
      </w:pPr>
      <w:r>
        <w:rPr>
          <w:sz w:val="24"/>
        </w:rPr>
        <w:t>При соблюдении вышеуказанных условий, а также при предоставлении документов оформленных уполномоченным федеральным органом исполнительной 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(органом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-2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управомоченным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им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учреждением,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-2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самоуправления), подтверждающих льготу (п.17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электросетевого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принадлежащих</w:t>
      </w:r>
      <w:r>
        <w:rPr>
          <w:spacing w:val="1"/>
          <w:sz w:val="24"/>
        </w:rPr>
        <w:t xml:space="preserve"> </w:t>
      </w:r>
      <w:r>
        <w:rPr>
          <w:sz w:val="24"/>
        </w:rPr>
        <w:t>сетевым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</w:t>
      </w:r>
      <w:r>
        <w:rPr>
          <w:spacing w:val="1"/>
          <w:sz w:val="24"/>
        </w:rPr>
        <w:t xml:space="preserve"> </w:t>
      </w:r>
      <w:r>
        <w:rPr>
          <w:sz w:val="24"/>
        </w:rPr>
        <w:t>лицам,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сетям,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утвержденные</w:t>
      </w:r>
      <w:r>
        <w:rPr>
          <w:spacing w:val="50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27.12.2004</w:t>
      </w:r>
      <w:r>
        <w:rPr>
          <w:spacing w:val="-1"/>
          <w:sz w:val="24"/>
        </w:rPr>
        <w:t xml:space="preserve"> </w:t>
      </w:r>
      <w:r>
        <w:rPr>
          <w:sz w:val="24"/>
        </w:rPr>
        <w:t>№861) размер платы за ТП определяется исходя из наименьшего расчета 1000 рублей за кВт либо по стандартизированной тарифной ставке.</w:t>
      </w:r>
    </w:p>
    <w:p w14:paraId="20F012EE" w14:textId="77777777" w:rsidR="00FD1C5C" w:rsidRDefault="00B37A0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Для заявителей юридических лиц и индивидуальных предпринимателей с мощность устройств до 150 кВт по 3 категории надежности и уровне напряжения 0,4 </w:t>
      </w:r>
      <w:proofErr w:type="spellStart"/>
      <w:r>
        <w:rPr>
          <w:rFonts w:ascii="Times New Roman" w:hAnsi="Times New Roman"/>
          <w:color w:val="000000" w:themeColor="text1"/>
          <w:sz w:val="24"/>
        </w:rPr>
        <w:t>кВ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и ниже, при расстоянии до ближайших сетей сетевой организации не далее 200/300 метров в городской/сельской местности соответственно, в размер платы не включаются мероприятия по строительству электросетевых объектов. В составе платы учитывается ставка С1 (плата «за бумагу») и С8 (плата за прибор учета).</w:t>
      </w:r>
    </w:p>
    <w:p w14:paraId="3512F832" w14:textId="77777777" w:rsidR="00FD1C5C" w:rsidRDefault="00B37A0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Указанная выше плата применяется 1 раз в 3 года:</w:t>
      </w:r>
    </w:p>
    <w:p w14:paraId="33C877CC" w14:textId="77777777" w:rsidR="00FD1C5C" w:rsidRDefault="00B37A0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- в границах субъекта РФ;</w:t>
      </w:r>
    </w:p>
    <w:p w14:paraId="2CA89A96" w14:textId="77777777" w:rsidR="00FD1C5C" w:rsidRDefault="00B37A0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- в границах того же земельного участка (или в границах того же сервитута либо территории, используемой на основании разрешения без предоставления земельного участка или установления сервитута), на котором расположены (будут располагаться) энергопринимающие устройства, в отношении которых ранее уже была подана заявка, которая не была аннулирована, или заключен договор в целях технологического присоединения энергопринимающих устройств;</w:t>
      </w:r>
    </w:p>
    <w:p w14:paraId="5B3F3F49" w14:textId="77777777" w:rsidR="00FD1C5C" w:rsidRDefault="00B37A0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lastRenderedPageBreak/>
        <w:t>Льготный размер платы не применяется в случаях:</w:t>
      </w:r>
    </w:p>
    <w:p w14:paraId="246BC8B6" w14:textId="77777777" w:rsidR="00FD1C5C" w:rsidRDefault="00B37A0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- владения земельным участком и (или) объектом капитального строительства по договору аренды, заключенному на срок не более одного года;</w:t>
      </w:r>
    </w:p>
    <w:p w14:paraId="55FFA4E4" w14:textId="77777777" w:rsidR="00FD1C5C" w:rsidRDefault="00B37A0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- присоединения энергопринимающих устройств, расположенных в жилых помещениях многоквартирных домов.</w:t>
      </w:r>
    </w:p>
    <w:p w14:paraId="4B659033" w14:textId="77777777" w:rsidR="00FD1C5C" w:rsidRDefault="00FD1C5C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</w:rPr>
      </w:pPr>
    </w:p>
    <w:p w14:paraId="1259D869" w14:textId="75AED53F" w:rsidR="00FD1C5C" w:rsidRDefault="00B37A0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В случае отсутствия указанных выше критериев в расчет платы за технологическое присоединение включаются мероприятия по строительству электросетевых объектов. Расчет платы   осуществляется по каждой заявке в зависимости от технических условий присоединения, на основании ставок, установленных постановлением регионального тарифного органа, на территории соответствующего субъекта.</w:t>
      </w:r>
    </w:p>
    <w:p w14:paraId="1BCFEC7E" w14:textId="77777777" w:rsidR="00FD1C5C" w:rsidRDefault="00B37A0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В случае подачи заявителем заявки в целях увеличения максимальной мощности ранее присоединенных энергопринимающих устройств без изменения категории надежности электроснабжения заявителем, максимальная мощность энергопринимающих устройств которого в результате такого увеличения максимальной мощности составит не более 150 кВт включительно, в состав платы за ТП не включаются расходы сетевой организации на строительство объектов электросетевого хозяйства, в том числе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</w:t>
      </w:r>
      <w:r>
        <w:rPr>
          <w:rFonts w:ascii="Times New Roman" w:hAnsi="Times New Roman"/>
          <w:sz w:val="24"/>
        </w:rPr>
        <w:t>(п.17(4)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также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объектов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электросетевого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хозяйства,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принадлежащих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сетевым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организациям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иным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лицам,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электрическим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сетям,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утвержденные</w:t>
      </w:r>
      <w:r>
        <w:rPr>
          <w:rFonts w:ascii="Times New Roman" w:hAnsi="Times New Roman"/>
          <w:spacing w:val="50"/>
          <w:sz w:val="24"/>
        </w:rPr>
        <w:t xml:space="preserve"> </w:t>
      </w:r>
      <w:r>
        <w:rPr>
          <w:rFonts w:ascii="Times New Roman" w:hAnsi="Times New Roman"/>
          <w:sz w:val="24"/>
        </w:rPr>
        <w:t>постановлением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Правительства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Российской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Федерации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от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27.12.2004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№861)</w:t>
      </w:r>
      <w:r>
        <w:rPr>
          <w:rFonts w:ascii="Times New Roman" w:hAnsi="Times New Roman"/>
          <w:color w:val="000000" w:themeColor="text1"/>
          <w:sz w:val="24"/>
        </w:rPr>
        <w:t>.</w:t>
      </w:r>
    </w:p>
    <w:p w14:paraId="12B06808" w14:textId="77777777" w:rsidR="00FD1C5C" w:rsidRDefault="00B37A0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548DD4" w:themeColor="text2" w:themeTint="99"/>
          <w:sz w:val="24"/>
        </w:rPr>
        <w:t>УСЛОВИЯ ОКАЗАНИЯ УСЛУГИ (ПРОЦЕССА):</w:t>
      </w:r>
      <w:r>
        <w:rPr>
          <w:rFonts w:ascii="Times New Roman" w:hAnsi="Times New Roman"/>
          <w:sz w:val="24"/>
        </w:rPr>
        <w:t xml:space="preserve"> заявка на осуществление технологического присоединения в отношении впервые вводимых в эксплуатацию, ранее присоединенных энергопринимающих устройств, максимальная мощность которых увеличивается, а также в случаях, при которых в отношении ранее присоединенных энергопринимающих устройств изменяются категория надежности электроснабжения, точка присоединения, вид производственной деятельности, не влекущие пересмотр величины максимальной мощности, но изменяющие схему внешнего электроснабжения таких энергопринимающих устройств.</w:t>
      </w:r>
    </w:p>
    <w:p w14:paraId="1493AE9C" w14:textId="77777777" w:rsidR="00FD1C5C" w:rsidRDefault="00B37A04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технологического присоединения энергопринимающих устройств, относящихся к имуществу общего пользования, расположенному в границах территории садоводства или огородничества, заявка на технологическое присоединение этих энергопринимающих устройств подается в сетевую организацию садоводческим или огородническим некоммерческим товариществом.</w:t>
      </w:r>
    </w:p>
    <w:p w14:paraId="009E56E4" w14:textId="77777777" w:rsidR="00FD1C5C" w:rsidRDefault="00B37A04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Заявка на  осуществление технологического присоединения энергопринимающих устройств, находящихся в нежилых помещениях, расположенных в многоквартирных домах и иных объектах капитального строительства подается в сетевую организацию, к объектам электросетевого хозяйства которой присоединен соответствующий многоквартирный дом или иной объект капитального строительства, собственником такого нежилого помещения или лицом, обладающим иным законным правом на нежилое помещение и имеющим право распоряжения нежилым помещением.</w:t>
      </w:r>
    </w:p>
    <w:p w14:paraId="55780F7D" w14:textId="77777777" w:rsidR="00FD1C5C" w:rsidRDefault="00B37A04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Заявка на осуществление технологического присоединения энергопринимающих устройств, находящихся в жилых помещениях, в том числе расположенных в многоквартирных домах подается в сетевую организацию, к объектам электросетевого хозяйства которой присоединены соответствующие жилые помещения, в том числе многоквартирный дом, при непосредственном управлении многоквартирным домом одним из собственников помещений в таком доме или иным лицом, имеющим соответствующие полномочия, </w:t>
      </w:r>
      <w:r>
        <w:rPr>
          <w:rFonts w:ascii="Times New Roman" w:hAnsi="Times New Roman"/>
          <w:sz w:val="24"/>
        </w:rPr>
        <w:lastRenderedPageBreak/>
        <w:t>удостоверенные доверенностью, выданной в письменной форме ему всеми или большинством собственников помещений в таком доме, в соответствии с границей балансовой принадлежности.</w:t>
      </w:r>
    </w:p>
    <w:p w14:paraId="79F7241F" w14:textId="77777777" w:rsidR="00FD1C5C" w:rsidRDefault="00B37A04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Технологическое присоединение объектов микрогенерации к электрическим сетям сетевой организации осуществляется не ранее технологического присоединения энергопринимающих устройств потребителя электрической энергии, которому принадлежат на праве собственности или на ином законном основании такие объекты микрогенерации, либо одновременно с технологическим присоединением энергопринимающих устройств потребителя электрической энергии. Заявка на технологическое присоединение объектов микрогенерации подается в сетевую организацию, к объектам электросетевого хозяйства которой технологически присоединены принадлежащие заявителю энергопринимающие устройства потребителя электрической энергии. В случае одновременного технологического присоединения объектов микрогенерации и энергопринимающих устройств потребителя электрической энергии, заявка на технологическое присоединение подается в ближайшую сетевую организацию. </w:t>
      </w:r>
    </w:p>
    <w:p w14:paraId="1931AC48" w14:textId="0F1A9D96" w:rsidR="00FD1C5C" w:rsidRDefault="00B37A04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период осуществления мероприятий по технологическому присоединению энергопринимающих устройств с применением постоянной схемы электроснабжения по обращению заявителя с ним может быть заключен договор об осуществлении временного технологического присоединения. Описание данной услуги приведено в соответствующем паспорте услуги (процесса) </w:t>
      </w:r>
      <w:r w:rsidR="00AB5588">
        <w:rPr>
          <w:rFonts w:ascii="Times New Roman" w:hAnsi="Times New Roman"/>
          <w:sz w:val="24"/>
        </w:rPr>
        <w:t>АО «ВГЭС»</w:t>
      </w:r>
      <w:r>
        <w:rPr>
          <w:rFonts w:ascii="Times New Roman" w:hAnsi="Times New Roman"/>
          <w:sz w:val="24"/>
        </w:rPr>
        <w:t>.</w:t>
      </w:r>
    </w:p>
    <w:p w14:paraId="21AAF2BE" w14:textId="141A1698" w:rsidR="00FD1C5C" w:rsidRDefault="00B37A0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548DD4" w:themeColor="text2" w:themeTint="99"/>
          <w:sz w:val="24"/>
        </w:rPr>
        <w:t>РЕЗУЛЬТАТ ОКАЗАНИЯ УСЛУГИ (ПРОЦЕССА):</w:t>
      </w:r>
      <w:r>
        <w:rPr>
          <w:rFonts w:ascii="Times New Roman" w:hAnsi="Times New Roman"/>
          <w:sz w:val="24"/>
        </w:rPr>
        <w:t xml:space="preserve"> технологическое присоединение энергопринимающих устройств Заявителя к сетям </w:t>
      </w:r>
      <w:r w:rsidR="00AB5588">
        <w:rPr>
          <w:rFonts w:ascii="Times New Roman" w:hAnsi="Times New Roman"/>
          <w:sz w:val="24"/>
        </w:rPr>
        <w:t>АО «ВГЭС»</w:t>
      </w:r>
      <w:r>
        <w:rPr>
          <w:rFonts w:ascii="Times New Roman" w:hAnsi="Times New Roman"/>
          <w:sz w:val="24"/>
        </w:rPr>
        <w:t xml:space="preserve"> (при напряжении выше 0,4 </w:t>
      </w:r>
      <w:proofErr w:type="spellStart"/>
      <w:r>
        <w:rPr>
          <w:rFonts w:ascii="Times New Roman" w:hAnsi="Times New Roman"/>
          <w:sz w:val="24"/>
        </w:rPr>
        <w:t>кВ</w:t>
      </w:r>
      <w:proofErr w:type="spellEnd"/>
      <w:r>
        <w:rPr>
          <w:rFonts w:ascii="Times New Roman" w:hAnsi="Times New Roman"/>
          <w:sz w:val="24"/>
        </w:rPr>
        <w:t xml:space="preserve">); обеспечение </w:t>
      </w:r>
      <w:r w:rsidR="00AB5588">
        <w:rPr>
          <w:rFonts w:ascii="Times New Roman" w:hAnsi="Times New Roman"/>
          <w:sz w:val="24"/>
        </w:rPr>
        <w:t>АО «ВГЭС»</w:t>
      </w:r>
      <w:r>
        <w:rPr>
          <w:rFonts w:ascii="Times New Roman" w:hAnsi="Times New Roman"/>
          <w:sz w:val="24"/>
        </w:rPr>
        <w:t xml:space="preserve"> возможности осуществить действиями заявителя фактическое присоединение его объектов к электрическим сетям и фактический прием (подачу) напряжения и мощности (при напряжении 0,4 </w:t>
      </w:r>
      <w:proofErr w:type="spellStart"/>
      <w:r>
        <w:rPr>
          <w:rFonts w:ascii="Times New Roman" w:hAnsi="Times New Roman"/>
          <w:sz w:val="24"/>
        </w:rPr>
        <w:t>кВ</w:t>
      </w:r>
      <w:proofErr w:type="spellEnd"/>
      <w:r>
        <w:rPr>
          <w:rFonts w:ascii="Times New Roman" w:hAnsi="Times New Roman"/>
          <w:sz w:val="24"/>
        </w:rPr>
        <w:t xml:space="preserve"> и ниже).</w:t>
      </w:r>
    </w:p>
    <w:p w14:paraId="362F196C" w14:textId="77777777" w:rsidR="00FD1C5C" w:rsidRDefault="00B37A04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Технологическое присоединение энергопринимающих устройств, принадлежащих гражданам, осуществляющим ведение садоводства или огородничества на земельных участках, расположенных в границах территории садоводства или огородничества, и иным правообладателям объектов недвижимости, расположенных в границах территории садоводства или огородничества, осуществляется к сетям сетевой организации непосредственно или с использованием имущества общего пользования садоводческого или огороднического некоммерческого товарищества.</w:t>
      </w:r>
    </w:p>
    <w:p w14:paraId="47EF1921" w14:textId="77777777" w:rsidR="00FD1C5C" w:rsidRDefault="00B37A04">
      <w:pPr>
        <w:spacing w:after="0" w:line="240" w:lineRule="auto"/>
        <w:jc w:val="both"/>
        <w:outlineLvl w:val="0"/>
        <w:rPr>
          <w:rFonts w:ascii="Times New Roman" w:hAnsi="Times New Roman"/>
          <w:b/>
          <w:color w:val="548DD4" w:themeColor="text2" w:themeTint="99"/>
          <w:sz w:val="24"/>
        </w:rPr>
      </w:pPr>
      <w:r>
        <w:rPr>
          <w:rFonts w:ascii="Times New Roman" w:hAnsi="Times New Roman"/>
          <w:b/>
          <w:color w:val="548DD4" w:themeColor="text2" w:themeTint="99"/>
          <w:sz w:val="24"/>
        </w:rPr>
        <w:t xml:space="preserve">ОБЩИЙ СРОК ОКАЗАНИЯ УСЛУГИ (ПРОЦЕССА): </w:t>
      </w:r>
      <w:r>
        <w:rPr>
          <w:rFonts w:ascii="Times New Roman" w:hAnsi="Times New Roman"/>
          <w:b/>
          <w:sz w:val="24"/>
        </w:rPr>
        <w:t>30 рабочих дней</w:t>
      </w:r>
      <w:r>
        <w:rPr>
          <w:rFonts w:ascii="Times New Roman" w:hAnsi="Times New Roman"/>
          <w:sz w:val="24"/>
        </w:rPr>
        <w:t xml:space="preserve"> при одновременном соблюдении следующих условий:</w:t>
      </w:r>
    </w:p>
    <w:p w14:paraId="3AA3D91C" w14:textId="77777777" w:rsidR="00FD1C5C" w:rsidRDefault="00B37A04">
      <w:pPr>
        <w:pStyle w:val="af4"/>
        <w:numPr>
          <w:ilvl w:val="0"/>
          <w:numId w:val="1"/>
        </w:numPr>
        <w:spacing w:after="0" w:line="240" w:lineRule="auto"/>
        <w:ind w:left="0" w:firstLine="567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технологическое присоединение энергопринимающих устройств заявителя осуществляется к электрическим сетям классом напряжения 0,4 </w:t>
      </w:r>
      <w:proofErr w:type="spellStart"/>
      <w:r>
        <w:rPr>
          <w:rFonts w:ascii="Times New Roman" w:hAnsi="Times New Roman"/>
          <w:sz w:val="24"/>
        </w:rPr>
        <w:t>кВ</w:t>
      </w:r>
      <w:proofErr w:type="spellEnd"/>
      <w:r>
        <w:rPr>
          <w:rFonts w:ascii="Times New Roman" w:hAnsi="Times New Roman"/>
          <w:sz w:val="24"/>
        </w:rPr>
        <w:t xml:space="preserve"> и ниже;</w:t>
      </w:r>
    </w:p>
    <w:p w14:paraId="3ACCE402" w14:textId="77777777" w:rsidR="00FD1C5C" w:rsidRDefault="00B37A04">
      <w:pPr>
        <w:pStyle w:val="af4"/>
        <w:numPr>
          <w:ilvl w:val="0"/>
          <w:numId w:val="1"/>
        </w:numPr>
        <w:spacing w:after="0" w:line="240" w:lineRule="auto"/>
        <w:ind w:left="0" w:firstLine="567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расстояние от существующих электрических сетей необходимого класса напряжения до границ участка, на котором расположены присоединяемые энергопринимающие устройства, составляет не более 15 метров;</w:t>
      </w:r>
    </w:p>
    <w:p w14:paraId="6153FC96" w14:textId="77777777" w:rsidR="00FD1C5C" w:rsidRDefault="00B37A04">
      <w:pPr>
        <w:pStyle w:val="af4"/>
        <w:numPr>
          <w:ilvl w:val="0"/>
          <w:numId w:val="1"/>
        </w:numPr>
        <w:spacing w:after="0" w:line="240" w:lineRule="auto"/>
        <w:ind w:left="0" w:firstLine="567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отсутствует необходимость урегулирования отношений с лицами, являющимися собственниками или иными законными владельцами земельных участков, расположенных полностью или частично между ближайшим объектом электрической сети и земельным участком заявителя;</w:t>
      </w:r>
    </w:p>
    <w:p w14:paraId="6E0DFADA" w14:textId="77777777" w:rsidR="00FD1C5C" w:rsidRDefault="00B37A04">
      <w:pPr>
        <w:pStyle w:val="af4"/>
        <w:numPr>
          <w:ilvl w:val="0"/>
          <w:numId w:val="1"/>
        </w:numPr>
        <w:spacing w:after="0" w:line="240" w:lineRule="auto"/>
        <w:ind w:left="0" w:firstLine="567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сетевой организации не требуется выполнение работ по строительству (реконструкции) объектов электросетевого хозяйства, кроме обеспечения коммерческого учета электрической энергии (мощности);</w:t>
      </w:r>
    </w:p>
    <w:p w14:paraId="295D80C5" w14:textId="4F37C8CC" w:rsidR="00FD1C5C" w:rsidRDefault="00B37A04">
      <w:pPr>
        <w:pStyle w:val="af4"/>
        <w:numPr>
          <w:ilvl w:val="0"/>
          <w:numId w:val="1"/>
        </w:numPr>
        <w:spacing w:after="0" w:line="240" w:lineRule="auto"/>
        <w:ind w:left="0" w:firstLine="567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Заявители, физические лица в целях технологического присоединения энергопринимающих устройств, максимальная мощность которых составляет до 15 кВт включительно (с учетом ранее присоединенных в данной точке присоединения </w:t>
      </w:r>
      <w:r>
        <w:rPr>
          <w:rFonts w:ascii="Times New Roman" w:hAnsi="Times New Roman"/>
          <w:sz w:val="24"/>
        </w:rPr>
        <w:lastRenderedPageBreak/>
        <w:t>энергопринимающих устройств), которые используются для бытовых и иных нужд, не связанных с осуществлением предпринимательской деятельности, и электроснабжение которых предусматривается по одному источнику</w:t>
      </w:r>
    </w:p>
    <w:p w14:paraId="0321DDE9" w14:textId="77777777" w:rsidR="00FD1C5C" w:rsidRDefault="00B37A04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несоблюдении вышеуказанных условий в случае осуществления технологического присоединения к электрическим сетям классом напряжения до 20 </w:t>
      </w:r>
      <w:proofErr w:type="spellStart"/>
      <w:r>
        <w:rPr>
          <w:rFonts w:ascii="Times New Roman" w:hAnsi="Times New Roman"/>
          <w:sz w:val="24"/>
        </w:rPr>
        <w:t>кВ</w:t>
      </w:r>
      <w:proofErr w:type="spellEnd"/>
      <w:r>
        <w:rPr>
          <w:rFonts w:ascii="Times New Roman" w:hAnsi="Times New Roman"/>
          <w:sz w:val="24"/>
        </w:rPr>
        <w:t xml:space="preserve"> включительно, расстояние от существующих электрических сетей необходимого класса напряжения до границ участка, на котором расположены присоединяемые энергопринимающие устройства, составляет не более 300 метров в городах и поселках городского типа и не более 500 метров в сельской местности - </w:t>
      </w:r>
      <w:r>
        <w:rPr>
          <w:rFonts w:ascii="Times New Roman" w:hAnsi="Times New Roman"/>
          <w:b/>
          <w:sz w:val="24"/>
        </w:rPr>
        <w:t>6 месяцев с даты заключения договора</w:t>
      </w:r>
      <w:r>
        <w:rPr>
          <w:rFonts w:ascii="Times New Roman" w:hAnsi="Times New Roman"/>
          <w:sz w:val="24"/>
        </w:rPr>
        <w:t xml:space="preserve">. </w:t>
      </w:r>
    </w:p>
    <w:p w14:paraId="454AED0A" w14:textId="3A56F686" w:rsidR="00FD1C5C" w:rsidRDefault="00B37A04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Если присутствуют вышеуказанные критерии и от </w:t>
      </w:r>
      <w:r w:rsidR="00AB5588">
        <w:rPr>
          <w:rFonts w:ascii="Times New Roman" w:hAnsi="Times New Roman"/>
          <w:sz w:val="24"/>
        </w:rPr>
        <w:t>АО «ВГЭС»</w:t>
      </w:r>
      <w:r>
        <w:rPr>
          <w:rFonts w:ascii="Times New Roman" w:hAnsi="Times New Roman"/>
          <w:sz w:val="24"/>
        </w:rPr>
        <w:t xml:space="preserve"> не требуется выполнение работ по строительству (реконструкции) объектов электросетевого хозяйства, включенных (подлежащих включению) в инвестиционную программу </w:t>
      </w:r>
      <w:r w:rsidR="00AB5588">
        <w:rPr>
          <w:rFonts w:ascii="Times New Roman" w:hAnsi="Times New Roman"/>
          <w:sz w:val="24"/>
        </w:rPr>
        <w:t>АО «ВГЭС»</w:t>
      </w:r>
      <w:r>
        <w:rPr>
          <w:rFonts w:ascii="Times New Roman" w:hAnsi="Times New Roman"/>
          <w:sz w:val="24"/>
        </w:rPr>
        <w:t xml:space="preserve"> (в том числе смежных сетевых организаций), и (или) объектов по производству электрической энергии,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(или) объектов электроэнергетики, по обеспечению коммерческого учета электрической энергии (мощности) - </w:t>
      </w:r>
      <w:r>
        <w:rPr>
          <w:rFonts w:ascii="Times New Roman" w:hAnsi="Times New Roman"/>
          <w:b/>
          <w:sz w:val="24"/>
        </w:rPr>
        <w:t>4 месяца с даты заключения договора</w:t>
      </w:r>
      <w:r>
        <w:rPr>
          <w:rFonts w:ascii="Times New Roman" w:hAnsi="Times New Roman"/>
          <w:sz w:val="24"/>
        </w:rPr>
        <w:t>;</w:t>
      </w:r>
    </w:p>
    <w:p w14:paraId="667477B8" w14:textId="663091E6" w:rsidR="00FD1C5C" w:rsidRDefault="00B37A04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несоблюдении всех вышеуказанных условий - </w:t>
      </w:r>
      <w:r>
        <w:rPr>
          <w:rFonts w:ascii="Times New Roman" w:hAnsi="Times New Roman"/>
          <w:b/>
          <w:sz w:val="24"/>
        </w:rPr>
        <w:t>1 год с даты заключения договора</w:t>
      </w:r>
      <w:r>
        <w:rPr>
          <w:rFonts w:ascii="Times New Roman" w:hAnsi="Times New Roman"/>
          <w:sz w:val="24"/>
        </w:rPr>
        <w:t xml:space="preserve"> (если более короткие сроки не предусмотрены инвестиционной программой </w:t>
      </w:r>
      <w:r w:rsidR="00AB5588">
        <w:rPr>
          <w:rFonts w:ascii="Times New Roman" w:hAnsi="Times New Roman"/>
          <w:sz w:val="24"/>
        </w:rPr>
        <w:t>АО «ВГЭС»</w:t>
      </w:r>
      <w:r>
        <w:rPr>
          <w:rFonts w:ascii="Times New Roman" w:hAnsi="Times New Roman"/>
          <w:sz w:val="24"/>
        </w:rPr>
        <w:t xml:space="preserve"> или соглашением сторон).</w:t>
      </w:r>
    </w:p>
    <w:p w14:paraId="1D21AB95" w14:textId="77777777" w:rsidR="00FD1C5C" w:rsidRDefault="00FD1C5C">
      <w:pPr>
        <w:spacing w:after="0" w:line="240" w:lineRule="auto"/>
        <w:jc w:val="both"/>
        <w:outlineLvl w:val="0"/>
        <w:rPr>
          <w:rFonts w:ascii="Times New Roman" w:hAnsi="Times New Roman"/>
          <w:sz w:val="24"/>
        </w:rPr>
      </w:pPr>
    </w:p>
    <w:p w14:paraId="2FC02F86" w14:textId="77777777" w:rsidR="00FD1C5C" w:rsidRDefault="00B37A04">
      <w:pPr>
        <w:spacing w:after="0" w:line="240" w:lineRule="auto"/>
        <w:jc w:val="both"/>
        <w:outlineLvl w:val="0"/>
        <w:rPr>
          <w:rFonts w:ascii="Times New Roman" w:hAnsi="Times New Roman"/>
          <w:b/>
          <w:color w:val="548DD4" w:themeColor="text2" w:themeTint="99"/>
          <w:sz w:val="24"/>
        </w:rPr>
      </w:pPr>
      <w:r>
        <w:rPr>
          <w:rFonts w:ascii="Times New Roman" w:hAnsi="Times New Roman"/>
          <w:b/>
          <w:color w:val="548DD4" w:themeColor="text2" w:themeTint="99"/>
          <w:sz w:val="24"/>
        </w:rPr>
        <w:t>СОСТАВ, ПОСЛЕДОВАТЕЛЬНОСТЬ И СРОКИ ОКАЗАНИЯ УСЛУГИ (ПРОЦЕССА):</w:t>
      </w:r>
    </w:p>
    <w:tbl>
      <w:tblPr>
        <w:tblStyle w:val="-110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91"/>
        <w:gridCol w:w="2181"/>
        <w:gridCol w:w="2099"/>
        <w:gridCol w:w="2792"/>
        <w:gridCol w:w="2153"/>
        <w:gridCol w:w="1846"/>
        <w:gridCol w:w="2536"/>
      </w:tblGrid>
      <w:tr w:rsidR="00FD1C5C" w14:paraId="39C19400" w14:textId="77777777">
        <w:trPr>
          <w:tblHeader/>
        </w:trPr>
        <w:tc>
          <w:tcPr>
            <w:tcW w:w="591" w:type="dxa"/>
            <w:tcBorders>
              <w:top w:val="single" w:sz="8" w:space="0" w:color="4F81BD" w:themeColor="accent1"/>
              <w:bottom w:val="double" w:sz="4" w:space="0" w:color="4F81BD" w:themeColor="accent1"/>
            </w:tcBorders>
          </w:tcPr>
          <w:p w14:paraId="7AEBEA96" w14:textId="77777777" w:rsidR="00FD1C5C" w:rsidRDefault="00B37A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2181" w:type="dxa"/>
            <w:tcBorders>
              <w:bottom w:val="double" w:sz="4" w:space="0" w:color="4F81BD" w:themeColor="accent1"/>
              <w:right w:val="single" w:sz="4" w:space="0" w:color="FFFFFF" w:themeColor="background1"/>
            </w:tcBorders>
          </w:tcPr>
          <w:p w14:paraId="47938490" w14:textId="77777777" w:rsidR="00FD1C5C" w:rsidRDefault="00B37A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Этап</w:t>
            </w:r>
          </w:p>
        </w:tc>
        <w:tc>
          <w:tcPr>
            <w:tcW w:w="2099" w:type="dxa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14:paraId="01515CC3" w14:textId="77777777" w:rsidR="00FD1C5C" w:rsidRDefault="00B37A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Условие этапа</w:t>
            </w:r>
          </w:p>
        </w:tc>
        <w:tc>
          <w:tcPr>
            <w:tcW w:w="2792" w:type="dxa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14:paraId="29604D27" w14:textId="77777777" w:rsidR="00FD1C5C" w:rsidRDefault="00B37A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</w:t>
            </w:r>
          </w:p>
        </w:tc>
        <w:tc>
          <w:tcPr>
            <w:tcW w:w="2153" w:type="dxa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14:paraId="6E7CA05E" w14:textId="77777777" w:rsidR="00FD1C5C" w:rsidRDefault="00B37A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 предоставления</w:t>
            </w:r>
          </w:p>
        </w:tc>
        <w:tc>
          <w:tcPr>
            <w:tcW w:w="1846" w:type="dxa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14:paraId="3E211B44" w14:textId="77777777" w:rsidR="00FD1C5C" w:rsidRDefault="00B37A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исполнения</w:t>
            </w:r>
          </w:p>
        </w:tc>
        <w:tc>
          <w:tcPr>
            <w:tcW w:w="2536" w:type="dxa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</w:tcBorders>
          </w:tcPr>
          <w:p w14:paraId="171FCB29" w14:textId="77777777" w:rsidR="00FD1C5C" w:rsidRDefault="00B37A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Ссылка на нормативно правовой акт</w:t>
            </w:r>
          </w:p>
        </w:tc>
      </w:tr>
      <w:tr w:rsidR="00FD1C5C" w14:paraId="351AE89A" w14:textId="77777777">
        <w:tc>
          <w:tcPr>
            <w:tcW w:w="591" w:type="dxa"/>
            <w:tcBorders>
              <w:top w:val="double" w:sz="4" w:space="0" w:color="4F81BD" w:themeColor="accent1"/>
            </w:tcBorders>
          </w:tcPr>
          <w:p w14:paraId="52578F01" w14:textId="77777777" w:rsidR="00FD1C5C" w:rsidRDefault="00B37A04">
            <w:pPr>
              <w:jc w:val="both"/>
              <w:rPr>
                <w:rFonts w:ascii="Times New Roman" w:hAnsi="Times New Roman"/>
                <w:color w:val="548DD4" w:themeColor="text2" w:themeTint="99"/>
              </w:rPr>
            </w:pPr>
            <w:r>
              <w:rPr>
                <w:rFonts w:ascii="Times New Roman" w:hAnsi="Times New Roman"/>
                <w:color w:val="548DD4" w:themeColor="text2" w:themeTint="99"/>
              </w:rPr>
              <w:t>1</w:t>
            </w:r>
          </w:p>
        </w:tc>
        <w:tc>
          <w:tcPr>
            <w:tcW w:w="2181" w:type="dxa"/>
            <w:tcBorders>
              <w:top w:val="double" w:sz="4" w:space="0" w:color="4F81BD" w:themeColor="accent1"/>
            </w:tcBorders>
          </w:tcPr>
          <w:p w14:paraId="0415EC63" w14:textId="77777777" w:rsidR="00FD1C5C" w:rsidRDefault="00B37A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Подача заявки на технологическое присоединение</w:t>
            </w:r>
          </w:p>
        </w:tc>
        <w:tc>
          <w:tcPr>
            <w:tcW w:w="2099" w:type="dxa"/>
            <w:tcBorders>
              <w:top w:val="double" w:sz="4" w:space="0" w:color="4F81BD" w:themeColor="accent1"/>
            </w:tcBorders>
          </w:tcPr>
          <w:p w14:paraId="581A4F54" w14:textId="77777777" w:rsidR="00FD1C5C" w:rsidRDefault="00FD1C5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92" w:type="dxa"/>
            <w:tcBorders>
              <w:top w:val="double" w:sz="4" w:space="0" w:color="4F81BD" w:themeColor="accent1"/>
            </w:tcBorders>
          </w:tcPr>
          <w:p w14:paraId="046240A8" w14:textId="77777777" w:rsidR="00FD1C5C" w:rsidRDefault="00B37A0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548DD4" w:themeColor="text2" w:themeTint="99"/>
              </w:rPr>
              <w:t>1.1.</w:t>
            </w:r>
            <w:r>
              <w:rPr>
                <w:rFonts w:ascii="Times New Roman" w:hAnsi="Times New Roman"/>
              </w:rPr>
              <w:t xml:space="preserve"> Заявитель подает заявку на технологическое присоединение</w:t>
            </w:r>
          </w:p>
          <w:p w14:paraId="4857192A" w14:textId="77777777" w:rsidR="00FD1C5C" w:rsidRDefault="00FD1C5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153" w:type="dxa"/>
            <w:tcBorders>
              <w:top w:val="double" w:sz="4" w:space="0" w:color="4F81BD" w:themeColor="accent1"/>
            </w:tcBorders>
          </w:tcPr>
          <w:p w14:paraId="506D3992" w14:textId="77777777" w:rsidR="00FD1C5C" w:rsidRDefault="00B37A04">
            <w:pPr>
              <w:pStyle w:val="af4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Письменная форма заявки подается очно через офис обслуживания потребителей, либо посредством почтового отправления.  </w:t>
            </w:r>
          </w:p>
          <w:p w14:paraId="094683AA" w14:textId="14AA7A49" w:rsidR="00FD1C5C" w:rsidRDefault="00B37A04">
            <w:pPr>
              <w:pStyle w:val="af4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Электронная форма заявки подается через Личный кабинет клиента на сайте </w:t>
            </w:r>
          </w:p>
        </w:tc>
        <w:tc>
          <w:tcPr>
            <w:tcW w:w="1846" w:type="dxa"/>
            <w:tcBorders>
              <w:top w:val="double" w:sz="4" w:space="0" w:color="4F81BD" w:themeColor="accent1"/>
            </w:tcBorders>
          </w:tcPr>
          <w:p w14:paraId="7135BA44" w14:textId="77777777" w:rsidR="00FD1C5C" w:rsidRDefault="00B37A0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ограничен</w:t>
            </w:r>
          </w:p>
        </w:tc>
        <w:tc>
          <w:tcPr>
            <w:tcW w:w="2536" w:type="dxa"/>
            <w:tcBorders>
              <w:top w:val="double" w:sz="4" w:space="0" w:color="4F81BD" w:themeColor="accent1"/>
            </w:tcBorders>
          </w:tcPr>
          <w:p w14:paraId="3537B4AC" w14:textId="77777777" w:rsidR="00FD1C5C" w:rsidRDefault="00B37A04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Пункты  8</w:t>
            </w:r>
            <w:proofErr w:type="gramEnd"/>
            <w:r>
              <w:rPr>
                <w:rFonts w:ascii="Times New Roman" w:hAnsi="Times New Roman"/>
              </w:rPr>
              <w:t>,10, 14, 104 Правил ТП</w:t>
            </w:r>
            <w:r>
              <w:rPr>
                <w:rStyle w:val="afd"/>
                <w:rFonts w:ascii="Times New Roman" w:hAnsi="Times New Roman"/>
              </w:rPr>
              <w:footnoteReference w:id="1"/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FD1C5C" w14:paraId="0487122B" w14:textId="77777777">
        <w:trPr>
          <w:trHeight w:val="86"/>
        </w:trPr>
        <w:tc>
          <w:tcPr>
            <w:tcW w:w="591" w:type="dxa"/>
          </w:tcPr>
          <w:p w14:paraId="645A25AC" w14:textId="77777777" w:rsidR="00FD1C5C" w:rsidRDefault="00FD1C5C">
            <w:pPr>
              <w:jc w:val="both"/>
              <w:rPr>
                <w:rFonts w:ascii="Times New Roman" w:hAnsi="Times New Roman"/>
                <w:color w:val="548DD4" w:themeColor="text2" w:themeTint="99"/>
              </w:rPr>
            </w:pPr>
          </w:p>
        </w:tc>
        <w:tc>
          <w:tcPr>
            <w:tcW w:w="2181" w:type="dxa"/>
          </w:tcPr>
          <w:p w14:paraId="71642D7E" w14:textId="77777777" w:rsidR="00FD1C5C" w:rsidRDefault="00FD1C5C">
            <w:pPr>
              <w:rPr>
                <w:rFonts w:ascii="Times New Roman" w:hAnsi="Times New Roman"/>
              </w:rPr>
            </w:pPr>
          </w:p>
        </w:tc>
        <w:tc>
          <w:tcPr>
            <w:tcW w:w="2099" w:type="dxa"/>
            <w:tcBorders>
              <w:bottom w:val="single" w:sz="8" w:space="0" w:color="4F81BD" w:themeColor="accent1"/>
            </w:tcBorders>
          </w:tcPr>
          <w:p w14:paraId="2B323E33" w14:textId="2A1F1E24" w:rsidR="00FD1C5C" w:rsidRDefault="00B37A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отсутствии сведений и документов, установленных законодательством</w:t>
            </w:r>
          </w:p>
        </w:tc>
        <w:tc>
          <w:tcPr>
            <w:tcW w:w="2792" w:type="dxa"/>
          </w:tcPr>
          <w:p w14:paraId="4188F515" w14:textId="06D4115D" w:rsidR="00FD1C5C" w:rsidRDefault="00B37A0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548DD4" w:themeColor="text2" w:themeTint="99"/>
              </w:rPr>
              <w:t>1.2</w:t>
            </w:r>
            <w:r>
              <w:rPr>
                <w:rFonts w:ascii="Times New Roman" w:hAnsi="Times New Roman"/>
              </w:rPr>
              <w:t xml:space="preserve">. </w:t>
            </w:r>
            <w:r w:rsidR="00AB5588">
              <w:rPr>
                <w:rFonts w:ascii="Times New Roman" w:hAnsi="Times New Roman"/>
              </w:rPr>
              <w:t>АО «ВГЭС»</w:t>
            </w:r>
            <w:r>
              <w:rPr>
                <w:rFonts w:ascii="Times New Roman" w:hAnsi="Times New Roman"/>
              </w:rPr>
              <w:t xml:space="preserve"> направляет уведомление заявителю о необходимости в течение 20 рабочих дней с даты получения уведомления предоставить недостающие сведения и/или документы к заявке</w:t>
            </w:r>
          </w:p>
        </w:tc>
        <w:tc>
          <w:tcPr>
            <w:tcW w:w="2153" w:type="dxa"/>
          </w:tcPr>
          <w:p w14:paraId="3E2EF634" w14:textId="77777777" w:rsidR="00FD1C5C" w:rsidRDefault="00B37A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Электронная через Личный кабинет клиента, или письменная выдается заявителю в офисе обслуживания под роспись (по его просьбе)</w:t>
            </w:r>
          </w:p>
        </w:tc>
        <w:tc>
          <w:tcPr>
            <w:tcW w:w="1846" w:type="dxa"/>
          </w:tcPr>
          <w:p w14:paraId="2AA7FEFC" w14:textId="77777777" w:rsidR="00FD1C5C" w:rsidRDefault="00B37A04">
            <w:pPr>
              <w:pStyle w:val="af4"/>
              <w:ind w:left="34"/>
              <w:rPr>
                <w:rFonts w:ascii="Arial Narrow" w:hAnsi="Arial Narrow"/>
              </w:rPr>
            </w:pPr>
            <w:r>
              <w:rPr>
                <w:rFonts w:ascii="Times New Roman" w:hAnsi="Times New Roman"/>
              </w:rPr>
              <w:t>3 рабочих дня со дня получения заявки</w:t>
            </w:r>
          </w:p>
        </w:tc>
        <w:tc>
          <w:tcPr>
            <w:tcW w:w="2536" w:type="dxa"/>
          </w:tcPr>
          <w:p w14:paraId="09EDD813" w14:textId="77777777" w:rsidR="00FD1C5C" w:rsidRDefault="00B37A04">
            <w:pPr>
              <w:ind w:left="-16" w:hanging="1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Пункт 15 Правил ТП</w:t>
            </w:r>
          </w:p>
        </w:tc>
      </w:tr>
      <w:tr w:rsidR="00FD1C5C" w14:paraId="6D2BDEE2" w14:textId="77777777">
        <w:trPr>
          <w:trHeight w:val="86"/>
        </w:trPr>
        <w:tc>
          <w:tcPr>
            <w:tcW w:w="591" w:type="dxa"/>
          </w:tcPr>
          <w:p w14:paraId="4CD0B71D" w14:textId="77777777" w:rsidR="00FD1C5C" w:rsidRDefault="00FD1C5C">
            <w:pPr>
              <w:jc w:val="both"/>
              <w:rPr>
                <w:rFonts w:ascii="Times New Roman" w:hAnsi="Times New Roman"/>
                <w:color w:val="548DD4" w:themeColor="text2" w:themeTint="99"/>
              </w:rPr>
            </w:pPr>
          </w:p>
        </w:tc>
        <w:tc>
          <w:tcPr>
            <w:tcW w:w="2181" w:type="dxa"/>
          </w:tcPr>
          <w:p w14:paraId="7E0DB5EA" w14:textId="77777777" w:rsidR="00FD1C5C" w:rsidRDefault="00FD1C5C">
            <w:pPr>
              <w:rPr>
                <w:rFonts w:ascii="Times New Roman" w:hAnsi="Times New Roman"/>
              </w:rPr>
            </w:pPr>
          </w:p>
        </w:tc>
        <w:tc>
          <w:tcPr>
            <w:tcW w:w="2099" w:type="dxa"/>
          </w:tcPr>
          <w:p w14:paraId="6F08BECD" w14:textId="77777777" w:rsidR="00FD1C5C" w:rsidRDefault="00B37A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отсутствии у заявителя Личного кабинета  </w:t>
            </w:r>
          </w:p>
        </w:tc>
        <w:tc>
          <w:tcPr>
            <w:tcW w:w="2792" w:type="dxa"/>
          </w:tcPr>
          <w:p w14:paraId="3D8CB4C9" w14:textId="09803E42" w:rsidR="00FD1C5C" w:rsidRDefault="00B37A0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548DD4" w:themeColor="text2" w:themeTint="99"/>
              </w:rPr>
              <w:t>1.3.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AB5588">
              <w:rPr>
                <w:rFonts w:ascii="Times New Roman" w:hAnsi="Times New Roman"/>
              </w:rPr>
              <w:t>АО «ВГЭС»</w:t>
            </w:r>
            <w:r>
              <w:rPr>
                <w:rFonts w:ascii="Times New Roman" w:hAnsi="Times New Roman"/>
              </w:rPr>
              <w:t xml:space="preserve"> регистрирует и сообщает заявителю порядок доступа к личному кабинету, включая получение первоначального доступа к личному кабинету, регистрацию и авторизацию, а также в офисах очного обслуживания потребителей обеспечивает доступ к личному кабинету на безвозмездной основе.</w:t>
            </w:r>
          </w:p>
        </w:tc>
        <w:tc>
          <w:tcPr>
            <w:tcW w:w="2153" w:type="dxa"/>
          </w:tcPr>
          <w:p w14:paraId="5A0055AA" w14:textId="77777777" w:rsidR="00FD1C5C" w:rsidRDefault="00B37A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Письменная в офисе обслуживания, по эл. почте/смс-уведомление</w:t>
            </w:r>
          </w:p>
        </w:tc>
        <w:tc>
          <w:tcPr>
            <w:tcW w:w="1846" w:type="dxa"/>
          </w:tcPr>
          <w:p w14:paraId="59E34202" w14:textId="77777777" w:rsidR="00FD1C5C" w:rsidRDefault="00B37A04">
            <w:pPr>
              <w:pStyle w:val="af4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рабочих дней со дня поступления заявки</w:t>
            </w:r>
          </w:p>
          <w:p w14:paraId="7E682C1A" w14:textId="77777777" w:rsidR="00FD1C5C" w:rsidRDefault="00FD1C5C">
            <w:pPr>
              <w:pStyle w:val="af4"/>
              <w:ind w:left="34"/>
              <w:rPr>
                <w:rFonts w:ascii="Times New Roman" w:hAnsi="Times New Roman"/>
              </w:rPr>
            </w:pPr>
          </w:p>
        </w:tc>
        <w:tc>
          <w:tcPr>
            <w:tcW w:w="2536" w:type="dxa"/>
          </w:tcPr>
          <w:p w14:paraId="7D70D86E" w14:textId="77777777" w:rsidR="00FD1C5C" w:rsidRDefault="00B37A04">
            <w:pPr>
              <w:ind w:left="-16" w:hanging="1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Абзац 7, 8 пункт 105 Правил ТП</w:t>
            </w:r>
          </w:p>
        </w:tc>
      </w:tr>
      <w:tr w:rsidR="00FD1C5C" w14:paraId="64624155" w14:textId="77777777">
        <w:trPr>
          <w:trHeight w:val="86"/>
        </w:trPr>
        <w:tc>
          <w:tcPr>
            <w:tcW w:w="591" w:type="dxa"/>
            <w:vMerge w:val="restart"/>
          </w:tcPr>
          <w:p w14:paraId="471265BC" w14:textId="77777777" w:rsidR="00FD1C5C" w:rsidRDefault="00B37A04">
            <w:pPr>
              <w:jc w:val="both"/>
              <w:rPr>
                <w:rFonts w:ascii="Times New Roman" w:hAnsi="Times New Roman"/>
                <w:color w:val="548DD4" w:themeColor="text2" w:themeTint="99"/>
              </w:rPr>
            </w:pPr>
            <w:r>
              <w:rPr>
                <w:rFonts w:ascii="Times New Roman" w:hAnsi="Times New Roman"/>
                <w:color w:val="548DD4" w:themeColor="text2" w:themeTint="99"/>
              </w:rPr>
              <w:t>2</w:t>
            </w:r>
          </w:p>
        </w:tc>
        <w:tc>
          <w:tcPr>
            <w:tcW w:w="2181" w:type="dxa"/>
            <w:vMerge w:val="restart"/>
          </w:tcPr>
          <w:p w14:paraId="27D5AAD9" w14:textId="77777777" w:rsidR="00FD1C5C" w:rsidRDefault="00B37A0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Заключение договора об осуществлении технологического присоединения к электрическим сетям</w:t>
            </w:r>
          </w:p>
        </w:tc>
        <w:tc>
          <w:tcPr>
            <w:tcW w:w="2099" w:type="dxa"/>
          </w:tcPr>
          <w:p w14:paraId="4B082099" w14:textId="77777777" w:rsidR="00FD1C5C" w:rsidRDefault="00B37A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Заявка на ТП и приложенные документы соответствуют Правилам ТП. </w:t>
            </w:r>
          </w:p>
        </w:tc>
        <w:tc>
          <w:tcPr>
            <w:tcW w:w="2792" w:type="dxa"/>
          </w:tcPr>
          <w:p w14:paraId="11D7584A" w14:textId="2760C6A0" w:rsidR="00FD1C5C" w:rsidRDefault="00B37A0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548DD4" w:themeColor="text2" w:themeTint="99"/>
              </w:rPr>
              <w:t>2.1</w:t>
            </w:r>
            <w:r>
              <w:rPr>
                <w:rFonts w:ascii="Times New Roman" w:hAnsi="Times New Roman"/>
              </w:rPr>
              <w:t>.</w:t>
            </w:r>
            <w:r w:rsidR="00AB558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Размещение в личном кабинете заявителя условий типового договора, технических условий, расчета размера платы за технологическое присоединение, счета на оплату, инструкции по самостоятельному подключению (при напряжении 0,4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spellEnd"/>
            <w:r>
              <w:rPr>
                <w:rFonts w:ascii="Times New Roman" w:hAnsi="Times New Roman"/>
              </w:rPr>
              <w:t xml:space="preserve"> и ниже)</w:t>
            </w:r>
          </w:p>
        </w:tc>
        <w:tc>
          <w:tcPr>
            <w:tcW w:w="2153" w:type="dxa"/>
          </w:tcPr>
          <w:p w14:paraId="0D62C609" w14:textId="30ACCE67" w:rsidR="00FD1C5C" w:rsidRDefault="00B37A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Документы направляются в Личный кабинет в электронной форме, подписанные со стороны </w:t>
            </w:r>
            <w:r w:rsidR="00AB5588">
              <w:rPr>
                <w:rFonts w:ascii="Times New Roman" w:hAnsi="Times New Roman"/>
              </w:rPr>
              <w:t>АО «ВГЭС»</w:t>
            </w:r>
            <w:r>
              <w:rPr>
                <w:rFonts w:ascii="Times New Roman" w:hAnsi="Times New Roman"/>
              </w:rPr>
              <w:t xml:space="preserve"> квалифицированной ЭП  </w:t>
            </w:r>
          </w:p>
        </w:tc>
        <w:tc>
          <w:tcPr>
            <w:tcW w:w="1846" w:type="dxa"/>
          </w:tcPr>
          <w:p w14:paraId="2153EEC2" w14:textId="77777777" w:rsidR="00FD1C5C" w:rsidRDefault="00B37A04">
            <w:pPr>
              <w:pStyle w:val="af4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рабочих дней со дня поступления заявки (недостающих сведений)</w:t>
            </w:r>
          </w:p>
        </w:tc>
        <w:tc>
          <w:tcPr>
            <w:tcW w:w="2536" w:type="dxa"/>
          </w:tcPr>
          <w:p w14:paraId="2BFB57C1" w14:textId="77777777" w:rsidR="00FD1C5C" w:rsidRDefault="00B37A04">
            <w:pPr>
              <w:ind w:left="-16" w:hanging="1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Пункт 103, 105 Правил ТП</w:t>
            </w:r>
          </w:p>
        </w:tc>
      </w:tr>
      <w:tr w:rsidR="00FD1C5C" w14:paraId="493FF253" w14:textId="77777777">
        <w:trPr>
          <w:trHeight w:val="86"/>
        </w:trPr>
        <w:tc>
          <w:tcPr>
            <w:tcW w:w="591" w:type="dxa"/>
            <w:vMerge/>
          </w:tcPr>
          <w:p w14:paraId="287138E4" w14:textId="77777777" w:rsidR="00FD1C5C" w:rsidRDefault="00FD1C5C"/>
        </w:tc>
        <w:tc>
          <w:tcPr>
            <w:tcW w:w="2181" w:type="dxa"/>
            <w:vMerge/>
          </w:tcPr>
          <w:p w14:paraId="1AA04298" w14:textId="77777777" w:rsidR="00FD1C5C" w:rsidRDefault="00FD1C5C"/>
        </w:tc>
        <w:tc>
          <w:tcPr>
            <w:tcW w:w="2099" w:type="dxa"/>
            <w:tcBorders>
              <w:bottom w:val="single" w:sz="4" w:space="0" w:color="000000"/>
            </w:tcBorders>
          </w:tcPr>
          <w:p w14:paraId="11278ACD" w14:textId="46B0BA19" w:rsidR="00FD1C5C" w:rsidRDefault="00B37A0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случае согласия заявителя с представленными </w:t>
            </w:r>
            <w:r w:rsidR="00AB5588">
              <w:rPr>
                <w:rFonts w:ascii="Times New Roman" w:hAnsi="Times New Roman"/>
              </w:rPr>
              <w:t>АО «ВГЭС»</w:t>
            </w:r>
            <w:r>
              <w:rPr>
                <w:rFonts w:ascii="Times New Roman" w:hAnsi="Times New Roman"/>
              </w:rPr>
              <w:t xml:space="preserve"> документами</w:t>
            </w:r>
          </w:p>
        </w:tc>
        <w:tc>
          <w:tcPr>
            <w:tcW w:w="2792" w:type="dxa"/>
          </w:tcPr>
          <w:p w14:paraId="35049C30" w14:textId="77777777" w:rsidR="00FD1C5C" w:rsidRDefault="00B37A04">
            <w:pPr>
              <w:jc w:val="both"/>
              <w:rPr>
                <w:rFonts w:ascii="Times New Roman" w:hAnsi="Times New Roman"/>
                <w:b/>
                <w:color w:val="548DD4" w:themeColor="text2" w:themeTint="99"/>
              </w:rPr>
            </w:pPr>
            <w:r>
              <w:rPr>
                <w:rFonts w:ascii="Times New Roman" w:hAnsi="Times New Roman"/>
                <w:b/>
                <w:color w:val="548DD4" w:themeColor="text2" w:themeTint="99"/>
              </w:rPr>
              <w:t>2.2</w:t>
            </w:r>
            <w:r>
              <w:rPr>
                <w:rFonts w:ascii="Times New Roman" w:hAnsi="Times New Roman"/>
              </w:rPr>
              <w:t xml:space="preserve">. Оплата заявителем счета </w:t>
            </w:r>
          </w:p>
        </w:tc>
        <w:tc>
          <w:tcPr>
            <w:tcW w:w="2153" w:type="dxa"/>
          </w:tcPr>
          <w:p w14:paraId="0CE89C61" w14:textId="77777777" w:rsidR="00FD1C5C" w:rsidRDefault="00B37A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Электронная</w:t>
            </w:r>
          </w:p>
        </w:tc>
        <w:tc>
          <w:tcPr>
            <w:tcW w:w="1846" w:type="dxa"/>
          </w:tcPr>
          <w:p w14:paraId="52C3FEE4" w14:textId="2537C44A" w:rsidR="00FD1C5C" w:rsidRDefault="00B37A04">
            <w:pPr>
              <w:pStyle w:val="af4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рабочих дней (если для заявителя установлено требование осуществления закупки с соблюдением требований Федерального закона "О контрактной системе в сфере закупок товаров, работ, услуг для обеспечения государственных и муниципальных нужд" или Федерального закона "О государственном оборонном заказе", - в течение 15 рабочих дней) со дня размещения счета в Личном кабинете.  При отсутствии оплаты либо мотивированного отказа от оплаты </w:t>
            </w:r>
            <w:r>
              <w:rPr>
                <w:rFonts w:ascii="Times New Roman" w:hAnsi="Times New Roman"/>
              </w:rPr>
              <w:lastRenderedPageBreak/>
              <w:t>(протокола разногласий) в течении 30 рабочих дней заявка аннулируется.</w:t>
            </w:r>
          </w:p>
        </w:tc>
        <w:tc>
          <w:tcPr>
            <w:tcW w:w="2536" w:type="dxa"/>
          </w:tcPr>
          <w:p w14:paraId="44165FDF" w14:textId="77777777" w:rsidR="00FD1C5C" w:rsidRDefault="00B37A04">
            <w:pPr>
              <w:ind w:left="-16" w:hanging="1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Пункт 15 Правил ТП</w:t>
            </w:r>
          </w:p>
          <w:p w14:paraId="2968CF32" w14:textId="77777777" w:rsidR="00FD1C5C" w:rsidRDefault="00B37A04">
            <w:pPr>
              <w:ind w:left="-16" w:hanging="1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Пункт 106 Правил ТП</w:t>
            </w:r>
          </w:p>
          <w:p w14:paraId="34E17B32" w14:textId="77777777" w:rsidR="00FD1C5C" w:rsidRDefault="00FD1C5C">
            <w:pPr>
              <w:ind w:left="-16" w:hanging="16"/>
              <w:jc w:val="both"/>
              <w:rPr>
                <w:rFonts w:ascii="Times New Roman" w:hAnsi="Times New Roman"/>
              </w:rPr>
            </w:pPr>
          </w:p>
        </w:tc>
      </w:tr>
      <w:tr w:rsidR="00FD1C5C" w14:paraId="4F6943DA" w14:textId="77777777">
        <w:trPr>
          <w:trHeight w:val="86"/>
        </w:trPr>
        <w:tc>
          <w:tcPr>
            <w:tcW w:w="591" w:type="dxa"/>
            <w:vMerge/>
          </w:tcPr>
          <w:p w14:paraId="354026BB" w14:textId="77777777" w:rsidR="00FD1C5C" w:rsidRDefault="00FD1C5C"/>
        </w:tc>
        <w:tc>
          <w:tcPr>
            <w:tcW w:w="2181" w:type="dxa"/>
            <w:vMerge/>
          </w:tcPr>
          <w:p w14:paraId="791A9FD5" w14:textId="77777777" w:rsidR="00FD1C5C" w:rsidRDefault="00FD1C5C"/>
        </w:tc>
        <w:tc>
          <w:tcPr>
            <w:tcW w:w="2099" w:type="dxa"/>
            <w:tcBorders>
              <w:bottom w:val="single" w:sz="4" w:space="0" w:color="000000"/>
            </w:tcBorders>
          </w:tcPr>
          <w:p w14:paraId="0D72AEA9" w14:textId="77777777" w:rsidR="00FD1C5C" w:rsidRDefault="00B37A0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Оплата заявителем счета</w:t>
            </w:r>
          </w:p>
        </w:tc>
        <w:tc>
          <w:tcPr>
            <w:tcW w:w="2792" w:type="dxa"/>
          </w:tcPr>
          <w:p w14:paraId="03A33BAD" w14:textId="4CE9DE1E" w:rsidR="00FD1C5C" w:rsidRDefault="00B37A04">
            <w:pPr>
              <w:jc w:val="both"/>
              <w:rPr>
                <w:rFonts w:ascii="Times New Roman" w:hAnsi="Times New Roman"/>
                <w:b/>
                <w:color w:val="548DD4" w:themeColor="text2" w:themeTint="99"/>
              </w:rPr>
            </w:pPr>
            <w:r>
              <w:rPr>
                <w:rFonts w:ascii="Times New Roman" w:hAnsi="Times New Roman"/>
                <w:b/>
                <w:color w:val="548DD4" w:themeColor="text2" w:themeTint="99"/>
              </w:rPr>
              <w:t>2.3.</w:t>
            </w:r>
            <w:r>
              <w:rPr>
                <w:rFonts w:ascii="Times New Roman" w:hAnsi="Times New Roman"/>
              </w:rPr>
              <w:t xml:space="preserve"> </w:t>
            </w:r>
            <w:r w:rsidR="00AB5588">
              <w:rPr>
                <w:rFonts w:ascii="Times New Roman" w:hAnsi="Times New Roman"/>
              </w:rPr>
              <w:t>АО «ВГЭС»</w:t>
            </w:r>
            <w:r>
              <w:rPr>
                <w:rFonts w:ascii="Times New Roman" w:hAnsi="Times New Roman"/>
              </w:rPr>
              <w:t xml:space="preserve"> направляет в адрес субъекта розничного рынка, указанного в заявке, с которым заявитель намеревается заключить договор энергоснабжения, копию заявки и приложенных документов.</w:t>
            </w:r>
          </w:p>
        </w:tc>
        <w:tc>
          <w:tcPr>
            <w:tcW w:w="2153" w:type="dxa"/>
          </w:tcPr>
          <w:p w14:paraId="28350AC1" w14:textId="77777777" w:rsidR="00FD1C5C" w:rsidRDefault="00B37A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письменном или электронном виде</w:t>
            </w:r>
          </w:p>
        </w:tc>
        <w:tc>
          <w:tcPr>
            <w:tcW w:w="1846" w:type="dxa"/>
          </w:tcPr>
          <w:p w14:paraId="15EA5CB7" w14:textId="77777777" w:rsidR="00FD1C5C" w:rsidRDefault="00B37A04">
            <w:pPr>
              <w:pStyle w:val="af4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позднее 2 рабочих дней со дня оплаты счета</w:t>
            </w:r>
          </w:p>
        </w:tc>
        <w:tc>
          <w:tcPr>
            <w:tcW w:w="2536" w:type="dxa"/>
          </w:tcPr>
          <w:p w14:paraId="5AF3A0B6" w14:textId="77777777" w:rsidR="00FD1C5C" w:rsidRDefault="00B37A04">
            <w:pPr>
              <w:ind w:left="-16" w:hanging="1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Пункт 107 Правил ТП</w:t>
            </w:r>
          </w:p>
        </w:tc>
      </w:tr>
      <w:tr w:rsidR="00FD1C5C" w14:paraId="5638EA73" w14:textId="77777777">
        <w:trPr>
          <w:trHeight w:val="86"/>
        </w:trPr>
        <w:tc>
          <w:tcPr>
            <w:tcW w:w="591" w:type="dxa"/>
            <w:vMerge/>
          </w:tcPr>
          <w:p w14:paraId="145CE4F4" w14:textId="77777777" w:rsidR="00FD1C5C" w:rsidRDefault="00FD1C5C"/>
        </w:tc>
        <w:tc>
          <w:tcPr>
            <w:tcW w:w="2181" w:type="dxa"/>
            <w:vMerge/>
          </w:tcPr>
          <w:p w14:paraId="4AC8278D" w14:textId="77777777" w:rsidR="00FD1C5C" w:rsidRDefault="00FD1C5C"/>
        </w:tc>
        <w:tc>
          <w:tcPr>
            <w:tcW w:w="2099" w:type="dxa"/>
            <w:tcBorders>
              <w:top w:val="single" w:sz="4" w:space="0" w:color="000000"/>
            </w:tcBorders>
          </w:tcPr>
          <w:p w14:paraId="7BA22DED" w14:textId="3530461F" w:rsidR="00FD1C5C" w:rsidRDefault="00B37A0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случае несогласия заявителя с представленными </w:t>
            </w:r>
            <w:r w:rsidR="00AB5588">
              <w:rPr>
                <w:rFonts w:ascii="Times New Roman" w:hAnsi="Times New Roman"/>
              </w:rPr>
              <w:t>АО «ВГЭС»</w:t>
            </w:r>
            <w:r>
              <w:rPr>
                <w:rFonts w:ascii="Times New Roman" w:hAnsi="Times New Roman"/>
              </w:rPr>
              <w:t xml:space="preserve"> документами и (или) несоответствие их Правилам ТП</w:t>
            </w:r>
          </w:p>
          <w:p w14:paraId="17C8D7E8" w14:textId="77777777" w:rsidR="00FD1C5C" w:rsidRDefault="00FD1C5C">
            <w:pPr>
              <w:rPr>
                <w:rFonts w:ascii="Times New Roman" w:hAnsi="Times New Roman"/>
              </w:rPr>
            </w:pPr>
          </w:p>
        </w:tc>
        <w:tc>
          <w:tcPr>
            <w:tcW w:w="2792" w:type="dxa"/>
          </w:tcPr>
          <w:p w14:paraId="0F0FAE09" w14:textId="29569611" w:rsidR="00FD1C5C" w:rsidRDefault="00B37A04">
            <w:pPr>
              <w:jc w:val="both"/>
              <w:rPr>
                <w:rFonts w:ascii="Times New Roman" w:hAnsi="Times New Roman"/>
                <w:b/>
                <w:color w:val="548DD4" w:themeColor="text2" w:themeTint="99"/>
                <w:sz w:val="24"/>
              </w:rPr>
            </w:pPr>
            <w:r>
              <w:rPr>
                <w:rFonts w:ascii="Times New Roman" w:hAnsi="Times New Roman"/>
                <w:b/>
                <w:color w:val="548DD4" w:themeColor="text2" w:themeTint="99"/>
                <w:sz w:val="24"/>
              </w:rPr>
              <w:t xml:space="preserve">2.4. </w:t>
            </w:r>
            <w:r>
              <w:rPr>
                <w:rFonts w:ascii="Times New Roman" w:hAnsi="Times New Roman"/>
              </w:rPr>
              <w:t xml:space="preserve">Заявитель направляет в </w:t>
            </w:r>
            <w:r w:rsidR="00AB5588">
              <w:rPr>
                <w:rFonts w:ascii="Times New Roman" w:hAnsi="Times New Roman"/>
              </w:rPr>
              <w:t>АО «ВГЭС»</w:t>
            </w:r>
            <w:r>
              <w:rPr>
                <w:rFonts w:ascii="Times New Roman" w:hAnsi="Times New Roman"/>
              </w:rPr>
              <w:t xml:space="preserve"> мотивированный отказ от заключения договора с предложением изменения представленных документов в соответствии с Правилами ТП (или протокол разногласий к счету, техническим условиям)</w:t>
            </w:r>
          </w:p>
        </w:tc>
        <w:tc>
          <w:tcPr>
            <w:tcW w:w="2153" w:type="dxa"/>
          </w:tcPr>
          <w:p w14:paraId="67943F12" w14:textId="77777777" w:rsidR="00FD1C5C" w:rsidRDefault="00B37A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Письменная/электронная (посредством Личного кабинета) форма мотивированного отказа (протокол разногласий)</w:t>
            </w:r>
          </w:p>
          <w:p w14:paraId="3D449165" w14:textId="77777777" w:rsidR="00FD1C5C" w:rsidRDefault="00FD1C5C">
            <w:pPr>
              <w:rPr>
                <w:rFonts w:ascii="Times New Roman" w:hAnsi="Times New Roman"/>
                <w:sz w:val="24"/>
              </w:rPr>
            </w:pPr>
          </w:p>
          <w:p w14:paraId="0A8AB333" w14:textId="77777777" w:rsidR="00FD1C5C" w:rsidRDefault="00FD1C5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6" w:type="dxa"/>
          </w:tcPr>
          <w:p w14:paraId="06096766" w14:textId="041BC3C9" w:rsidR="00FD1C5C" w:rsidRDefault="00B37A04">
            <w:pPr>
              <w:pStyle w:val="af4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 рабочих дней со дня размещения в личном кабинете подписанных </w:t>
            </w:r>
            <w:r w:rsidR="00AB5588">
              <w:rPr>
                <w:rFonts w:ascii="Times New Roman" w:hAnsi="Times New Roman"/>
              </w:rPr>
              <w:t>АО «ВГЭС»</w:t>
            </w:r>
            <w:r>
              <w:rPr>
                <w:rFonts w:ascii="Times New Roman" w:hAnsi="Times New Roman"/>
              </w:rPr>
              <w:t xml:space="preserve"> счета и технических условий</w:t>
            </w:r>
          </w:p>
          <w:p w14:paraId="31D06C8D" w14:textId="77777777" w:rsidR="00FD1C5C" w:rsidRDefault="00FD1C5C">
            <w:pPr>
              <w:pStyle w:val="af4"/>
              <w:ind w:left="34"/>
              <w:rPr>
                <w:rFonts w:ascii="Times New Roman" w:hAnsi="Times New Roman"/>
                <w:sz w:val="24"/>
              </w:rPr>
            </w:pPr>
          </w:p>
          <w:p w14:paraId="23E1356A" w14:textId="77777777" w:rsidR="00FD1C5C" w:rsidRDefault="00FD1C5C">
            <w:pPr>
              <w:pStyle w:val="af4"/>
              <w:ind w:left="34"/>
              <w:rPr>
                <w:rFonts w:ascii="Times New Roman" w:hAnsi="Times New Roman"/>
                <w:sz w:val="24"/>
              </w:rPr>
            </w:pPr>
          </w:p>
        </w:tc>
        <w:tc>
          <w:tcPr>
            <w:tcW w:w="2536" w:type="dxa"/>
          </w:tcPr>
          <w:p w14:paraId="11CAF555" w14:textId="77777777" w:rsidR="00FD1C5C" w:rsidRDefault="00B37A04">
            <w:pPr>
              <w:ind w:left="-16" w:hanging="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Пункт 15, 105 Правил ТП</w:t>
            </w:r>
          </w:p>
          <w:p w14:paraId="32327ED8" w14:textId="77777777" w:rsidR="00FD1C5C" w:rsidRDefault="00FD1C5C">
            <w:pPr>
              <w:ind w:left="-16" w:hanging="16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D1C5C" w14:paraId="75A19CFB" w14:textId="77777777">
        <w:trPr>
          <w:trHeight w:val="86"/>
        </w:trPr>
        <w:tc>
          <w:tcPr>
            <w:tcW w:w="591" w:type="dxa"/>
            <w:vMerge/>
          </w:tcPr>
          <w:p w14:paraId="608730A4" w14:textId="77777777" w:rsidR="00FD1C5C" w:rsidRDefault="00FD1C5C"/>
        </w:tc>
        <w:tc>
          <w:tcPr>
            <w:tcW w:w="2181" w:type="dxa"/>
            <w:vMerge/>
          </w:tcPr>
          <w:p w14:paraId="3D61EEE0" w14:textId="77777777" w:rsidR="00FD1C5C" w:rsidRDefault="00FD1C5C"/>
        </w:tc>
        <w:tc>
          <w:tcPr>
            <w:tcW w:w="2099" w:type="dxa"/>
          </w:tcPr>
          <w:p w14:paraId="7115E568" w14:textId="1F14B49C" w:rsidR="00FD1C5C" w:rsidRDefault="00B37A0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Поступление в адрес </w:t>
            </w:r>
            <w:r w:rsidR="00AB5588">
              <w:rPr>
                <w:rFonts w:ascii="Times New Roman" w:hAnsi="Times New Roman"/>
              </w:rPr>
              <w:t>АО «ВГЭС»</w:t>
            </w:r>
            <w:r>
              <w:rPr>
                <w:rFonts w:ascii="Times New Roman" w:hAnsi="Times New Roman"/>
              </w:rPr>
              <w:t xml:space="preserve"> от заявителя мотивированного отказа от заключения договора с предложением изменения </w:t>
            </w:r>
            <w:r>
              <w:rPr>
                <w:rFonts w:ascii="Times New Roman" w:hAnsi="Times New Roman"/>
              </w:rPr>
              <w:lastRenderedPageBreak/>
              <w:t>представленных документов в соответствии с Правилами ТП (или протокол разногласий)</w:t>
            </w:r>
          </w:p>
        </w:tc>
        <w:tc>
          <w:tcPr>
            <w:tcW w:w="2792" w:type="dxa"/>
          </w:tcPr>
          <w:p w14:paraId="700EC568" w14:textId="3DCC347B" w:rsidR="00FD1C5C" w:rsidRDefault="00B37A04">
            <w:pPr>
              <w:jc w:val="both"/>
              <w:rPr>
                <w:rFonts w:ascii="Times New Roman" w:hAnsi="Times New Roman"/>
                <w:b/>
                <w:color w:val="548DD4" w:themeColor="text2" w:themeTint="99"/>
                <w:sz w:val="24"/>
              </w:rPr>
            </w:pPr>
            <w:r>
              <w:rPr>
                <w:rFonts w:ascii="Times New Roman" w:hAnsi="Times New Roman"/>
                <w:b/>
                <w:color w:val="548DD4" w:themeColor="text2" w:themeTint="99"/>
                <w:sz w:val="24"/>
              </w:rPr>
              <w:lastRenderedPageBreak/>
              <w:t>2.5.</w:t>
            </w:r>
            <w:r>
              <w:rPr>
                <w:rFonts w:ascii="Times New Roman" w:hAnsi="Times New Roman"/>
              </w:rPr>
              <w:t xml:space="preserve"> Размещение в личном кабинете заявителя новой редакции условий типового договора, технических условий, расчета размера платы за технологическое присоединение, счета на оплату, инструкции (при </w:t>
            </w:r>
            <w:r>
              <w:rPr>
                <w:rFonts w:ascii="Times New Roman" w:hAnsi="Times New Roman"/>
              </w:rPr>
              <w:lastRenderedPageBreak/>
              <w:t xml:space="preserve">напряжении 0,4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spellEnd"/>
            <w:r>
              <w:rPr>
                <w:rFonts w:ascii="Times New Roman" w:hAnsi="Times New Roman"/>
              </w:rPr>
              <w:t xml:space="preserve"> и ниже) (или подписанный протокол урегулирования разногласий, или протокол разногласий – в случае согласия </w:t>
            </w:r>
            <w:r w:rsidR="00AB5588">
              <w:rPr>
                <w:rFonts w:ascii="Times New Roman" w:hAnsi="Times New Roman"/>
              </w:rPr>
              <w:t>АО «ВГЭС»</w:t>
            </w:r>
            <w:r>
              <w:rPr>
                <w:rFonts w:ascii="Times New Roman" w:hAnsi="Times New Roman"/>
              </w:rPr>
              <w:t xml:space="preserve"> с редакцией протокола разногласий)</w:t>
            </w:r>
          </w:p>
        </w:tc>
        <w:tc>
          <w:tcPr>
            <w:tcW w:w="2153" w:type="dxa"/>
          </w:tcPr>
          <w:p w14:paraId="01B82617" w14:textId="2F4B5251" w:rsidR="00FD1C5C" w:rsidRDefault="00B37A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Документы направляются в Личный кабинет в электронной форме, подписанные со стороны </w:t>
            </w:r>
            <w:r w:rsidR="00AB5588">
              <w:rPr>
                <w:rFonts w:ascii="Times New Roman" w:hAnsi="Times New Roman"/>
              </w:rPr>
              <w:t>АО «ВГЭС»</w:t>
            </w:r>
            <w:r>
              <w:rPr>
                <w:rFonts w:ascii="Times New Roman" w:hAnsi="Times New Roman"/>
              </w:rPr>
              <w:t xml:space="preserve"> квалифицированной ЭП  </w:t>
            </w:r>
          </w:p>
        </w:tc>
        <w:tc>
          <w:tcPr>
            <w:tcW w:w="1846" w:type="dxa"/>
          </w:tcPr>
          <w:p w14:paraId="1099E4D9" w14:textId="77777777" w:rsidR="00FD1C5C" w:rsidRDefault="00B37A04">
            <w:pPr>
              <w:pStyle w:val="af4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 рабочих дней с даты получения от заявителя мотивированного требования о приведении документов в соответствие с </w:t>
            </w:r>
            <w:r>
              <w:rPr>
                <w:rFonts w:ascii="Times New Roman" w:hAnsi="Times New Roman"/>
              </w:rPr>
              <w:lastRenderedPageBreak/>
              <w:t xml:space="preserve">Правилами ТП или с даты получения протокола разногласий к договору </w:t>
            </w:r>
          </w:p>
        </w:tc>
        <w:tc>
          <w:tcPr>
            <w:tcW w:w="2536" w:type="dxa"/>
          </w:tcPr>
          <w:p w14:paraId="7AED1DEA" w14:textId="77777777" w:rsidR="00FD1C5C" w:rsidRDefault="00B37A04">
            <w:pPr>
              <w:ind w:left="-16" w:hanging="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lastRenderedPageBreak/>
              <w:t>Пункт 15, 105 Правил ТП</w:t>
            </w:r>
          </w:p>
        </w:tc>
      </w:tr>
      <w:tr w:rsidR="00FD1C5C" w14:paraId="6D5E9756" w14:textId="77777777">
        <w:trPr>
          <w:trHeight w:val="695"/>
        </w:trPr>
        <w:tc>
          <w:tcPr>
            <w:tcW w:w="591" w:type="dxa"/>
            <w:vMerge w:val="restart"/>
          </w:tcPr>
          <w:p w14:paraId="54103681" w14:textId="77777777" w:rsidR="00FD1C5C" w:rsidRDefault="00B37A04">
            <w:pPr>
              <w:jc w:val="both"/>
              <w:rPr>
                <w:rFonts w:ascii="Times New Roman" w:hAnsi="Times New Roman"/>
                <w:color w:val="548DD4" w:themeColor="text2" w:themeTint="99"/>
              </w:rPr>
            </w:pPr>
            <w:r>
              <w:rPr>
                <w:rFonts w:ascii="Times New Roman" w:hAnsi="Times New Roman"/>
                <w:color w:val="548DD4" w:themeColor="text2" w:themeTint="99"/>
              </w:rPr>
              <w:t>3</w:t>
            </w:r>
          </w:p>
        </w:tc>
        <w:tc>
          <w:tcPr>
            <w:tcW w:w="2181" w:type="dxa"/>
            <w:vMerge w:val="restart"/>
          </w:tcPr>
          <w:p w14:paraId="0D07CD4E" w14:textId="77777777" w:rsidR="00FD1C5C" w:rsidRDefault="00B37A0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сторонами мероприятий по технологическому присоединению, предусмотренных ТУ</w:t>
            </w:r>
          </w:p>
        </w:tc>
        <w:tc>
          <w:tcPr>
            <w:tcW w:w="2099" w:type="dxa"/>
            <w:vMerge w:val="restart"/>
          </w:tcPr>
          <w:p w14:paraId="7F5BE606" w14:textId="77777777" w:rsidR="00FD1C5C" w:rsidRDefault="00B37A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Заключенный договор об осуществлении технологического присоединения</w:t>
            </w:r>
          </w:p>
        </w:tc>
        <w:tc>
          <w:tcPr>
            <w:tcW w:w="2792" w:type="dxa"/>
          </w:tcPr>
          <w:p w14:paraId="03947955" w14:textId="77777777" w:rsidR="00FD1C5C" w:rsidRDefault="00B37A0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548DD4" w:themeColor="text2" w:themeTint="99"/>
              </w:rPr>
              <w:t>3.1</w:t>
            </w:r>
            <w:r>
              <w:rPr>
                <w:rFonts w:ascii="Times New Roman" w:hAnsi="Times New Roman"/>
              </w:rPr>
              <w:t>. Оплата услуги в порядке и сроки, предусмотренные счетом</w:t>
            </w:r>
          </w:p>
        </w:tc>
        <w:tc>
          <w:tcPr>
            <w:tcW w:w="2153" w:type="dxa"/>
          </w:tcPr>
          <w:p w14:paraId="71FF5CCF" w14:textId="77777777" w:rsidR="00FD1C5C" w:rsidRDefault="00FD1C5C">
            <w:pPr>
              <w:rPr>
                <w:rFonts w:ascii="Times New Roman" w:hAnsi="Times New Roman"/>
              </w:rPr>
            </w:pPr>
          </w:p>
        </w:tc>
        <w:tc>
          <w:tcPr>
            <w:tcW w:w="1846" w:type="dxa"/>
          </w:tcPr>
          <w:p w14:paraId="6C987479" w14:textId="77777777" w:rsidR="00FD1C5C" w:rsidRDefault="00B37A0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соответствии с графиком, указанным в счете</w:t>
            </w:r>
          </w:p>
        </w:tc>
        <w:tc>
          <w:tcPr>
            <w:tcW w:w="2536" w:type="dxa"/>
          </w:tcPr>
          <w:p w14:paraId="2FB928CA" w14:textId="77777777" w:rsidR="00FD1C5C" w:rsidRDefault="00B37A04">
            <w:pPr>
              <w:ind w:left="-16" w:hanging="1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Пункты 15, 17, 106 Правил ТП</w:t>
            </w:r>
          </w:p>
        </w:tc>
      </w:tr>
      <w:tr w:rsidR="00FD1C5C" w14:paraId="77ECD890" w14:textId="77777777">
        <w:trPr>
          <w:trHeight w:val="695"/>
        </w:trPr>
        <w:tc>
          <w:tcPr>
            <w:tcW w:w="591" w:type="dxa"/>
            <w:vMerge/>
          </w:tcPr>
          <w:p w14:paraId="60E0A2CB" w14:textId="77777777" w:rsidR="00FD1C5C" w:rsidRDefault="00FD1C5C"/>
        </w:tc>
        <w:tc>
          <w:tcPr>
            <w:tcW w:w="2181" w:type="dxa"/>
            <w:vMerge/>
          </w:tcPr>
          <w:p w14:paraId="24D23CF6" w14:textId="77777777" w:rsidR="00FD1C5C" w:rsidRDefault="00FD1C5C"/>
        </w:tc>
        <w:tc>
          <w:tcPr>
            <w:tcW w:w="2099" w:type="dxa"/>
            <w:vMerge/>
          </w:tcPr>
          <w:p w14:paraId="30795C78" w14:textId="77777777" w:rsidR="00FD1C5C" w:rsidRDefault="00FD1C5C"/>
        </w:tc>
        <w:tc>
          <w:tcPr>
            <w:tcW w:w="2792" w:type="dxa"/>
          </w:tcPr>
          <w:p w14:paraId="3ADD3CCA" w14:textId="127DA35D" w:rsidR="00FD1C5C" w:rsidRDefault="00B37A0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548DD4" w:themeColor="text2" w:themeTint="99"/>
              </w:rPr>
              <w:t>3.2</w:t>
            </w:r>
            <w:r>
              <w:rPr>
                <w:rFonts w:ascii="Times New Roman" w:hAnsi="Times New Roman"/>
              </w:rPr>
              <w:t xml:space="preserve">. Выполнение </w:t>
            </w:r>
            <w:r w:rsidR="00AB5588">
              <w:rPr>
                <w:rFonts w:ascii="Times New Roman" w:hAnsi="Times New Roman"/>
              </w:rPr>
              <w:t>АО «ВГЭС»</w:t>
            </w:r>
            <w:r>
              <w:rPr>
                <w:rFonts w:ascii="Times New Roman" w:hAnsi="Times New Roman"/>
              </w:rPr>
              <w:t xml:space="preserve"> мероприятий, предусмотренных ТУ на уровне напряжения 0,4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spellEnd"/>
            <w:r>
              <w:rPr>
                <w:rFonts w:ascii="Times New Roman" w:hAnsi="Times New Roman"/>
              </w:rPr>
              <w:t xml:space="preserve"> и ниже</w:t>
            </w:r>
          </w:p>
        </w:tc>
        <w:tc>
          <w:tcPr>
            <w:tcW w:w="2153" w:type="dxa"/>
          </w:tcPr>
          <w:p w14:paraId="5471D903" w14:textId="77777777" w:rsidR="00FD1C5C" w:rsidRDefault="00B37A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Электронная:</w:t>
            </w:r>
          </w:p>
          <w:p w14:paraId="2E9F3ACE" w14:textId="77777777" w:rsidR="00FD1C5C" w:rsidRDefault="00B37A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Размещение в Личном кабинете заявителя акта допуска прибора учета в эксплуатацию, уведомления об обеспечении сетевой организацией возможности присоединения к электрическим сетям, подписанные ЭП.</w:t>
            </w:r>
          </w:p>
        </w:tc>
        <w:tc>
          <w:tcPr>
            <w:tcW w:w="1846" w:type="dxa"/>
          </w:tcPr>
          <w:p w14:paraId="2D9FCE33" w14:textId="77777777" w:rsidR="00FD1C5C" w:rsidRDefault="00B37A0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1 рабочего дня после выполнения мероприятий по ТП</w:t>
            </w:r>
          </w:p>
        </w:tc>
        <w:tc>
          <w:tcPr>
            <w:tcW w:w="2536" w:type="dxa"/>
            <w:vMerge w:val="restart"/>
          </w:tcPr>
          <w:p w14:paraId="66B63A70" w14:textId="77777777" w:rsidR="00FD1C5C" w:rsidRDefault="00B37A04">
            <w:pPr>
              <w:ind w:left="-16" w:hanging="1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Пункт 110 Правил ТП</w:t>
            </w:r>
          </w:p>
        </w:tc>
      </w:tr>
      <w:tr w:rsidR="00FD1C5C" w14:paraId="73160A70" w14:textId="77777777">
        <w:trPr>
          <w:trHeight w:val="695"/>
        </w:trPr>
        <w:tc>
          <w:tcPr>
            <w:tcW w:w="591" w:type="dxa"/>
            <w:vMerge/>
          </w:tcPr>
          <w:p w14:paraId="543D1282" w14:textId="77777777" w:rsidR="00FD1C5C" w:rsidRDefault="00FD1C5C"/>
        </w:tc>
        <w:tc>
          <w:tcPr>
            <w:tcW w:w="2181" w:type="dxa"/>
            <w:vMerge/>
          </w:tcPr>
          <w:p w14:paraId="45FBEB5B" w14:textId="77777777" w:rsidR="00FD1C5C" w:rsidRDefault="00FD1C5C"/>
        </w:tc>
        <w:tc>
          <w:tcPr>
            <w:tcW w:w="2099" w:type="dxa"/>
            <w:vMerge/>
          </w:tcPr>
          <w:p w14:paraId="6C80CBA3" w14:textId="77777777" w:rsidR="00FD1C5C" w:rsidRDefault="00FD1C5C"/>
        </w:tc>
        <w:tc>
          <w:tcPr>
            <w:tcW w:w="2792" w:type="dxa"/>
          </w:tcPr>
          <w:p w14:paraId="2411144B" w14:textId="7861797E" w:rsidR="00FD1C5C" w:rsidRDefault="00B37A0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548DD4" w:themeColor="text2" w:themeTint="99"/>
              </w:rPr>
              <w:t>3.3</w:t>
            </w:r>
            <w:r>
              <w:rPr>
                <w:rFonts w:ascii="Times New Roman" w:hAnsi="Times New Roman"/>
              </w:rPr>
              <w:t xml:space="preserve">. Выполнение заявителем мероприятий, предусмотренных ТУ, в том числе фактическое присоединение объекта к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эл.сетям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в соответствии с инструкцией (при ТП на </w:t>
            </w:r>
            <w:r>
              <w:rPr>
                <w:rFonts w:ascii="Times New Roman" w:hAnsi="Times New Roman"/>
              </w:rPr>
              <w:lastRenderedPageBreak/>
              <w:t xml:space="preserve">уровне напряжения 0,4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spellEnd"/>
            <w:r>
              <w:rPr>
                <w:rFonts w:ascii="Times New Roman" w:hAnsi="Times New Roman"/>
              </w:rPr>
              <w:t xml:space="preserve"> и ниже)</w:t>
            </w:r>
          </w:p>
        </w:tc>
        <w:tc>
          <w:tcPr>
            <w:tcW w:w="2153" w:type="dxa"/>
          </w:tcPr>
          <w:p w14:paraId="3E444043" w14:textId="77777777" w:rsidR="00FD1C5C" w:rsidRDefault="00FD1C5C">
            <w:pPr>
              <w:rPr>
                <w:rFonts w:ascii="Times New Roman" w:hAnsi="Times New Roman"/>
              </w:rPr>
            </w:pPr>
          </w:p>
        </w:tc>
        <w:tc>
          <w:tcPr>
            <w:tcW w:w="1846" w:type="dxa"/>
          </w:tcPr>
          <w:p w14:paraId="5B621AF6" w14:textId="77777777" w:rsidR="00FD1C5C" w:rsidRDefault="00B37A0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соответствии с законодательным сроком</w:t>
            </w:r>
          </w:p>
        </w:tc>
        <w:tc>
          <w:tcPr>
            <w:tcW w:w="2536" w:type="dxa"/>
            <w:vMerge/>
          </w:tcPr>
          <w:p w14:paraId="5DB13A4A" w14:textId="77777777" w:rsidR="00FD1C5C" w:rsidRDefault="00FD1C5C"/>
        </w:tc>
      </w:tr>
      <w:tr w:rsidR="00FD1C5C" w14:paraId="02F4C81B" w14:textId="77777777">
        <w:trPr>
          <w:trHeight w:val="695"/>
        </w:trPr>
        <w:tc>
          <w:tcPr>
            <w:tcW w:w="591" w:type="dxa"/>
            <w:vMerge/>
          </w:tcPr>
          <w:p w14:paraId="2F9B578F" w14:textId="77777777" w:rsidR="00FD1C5C" w:rsidRDefault="00FD1C5C"/>
        </w:tc>
        <w:tc>
          <w:tcPr>
            <w:tcW w:w="2181" w:type="dxa"/>
            <w:vMerge/>
          </w:tcPr>
          <w:p w14:paraId="757ADFF0" w14:textId="77777777" w:rsidR="00FD1C5C" w:rsidRDefault="00FD1C5C"/>
        </w:tc>
        <w:tc>
          <w:tcPr>
            <w:tcW w:w="2099" w:type="dxa"/>
          </w:tcPr>
          <w:p w14:paraId="05EDF5F9" w14:textId="77777777" w:rsidR="00FD1C5C" w:rsidRDefault="00B37A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Размещение в Личном кабинете заявителя акта допуска прибора учета в эксплуатацию, уведомления об обеспечении сетевой организацией возможности присоединения к электрическим сетям, подписанные ЭП.</w:t>
            </w:r>
          </w:p>
        </w:tc>
        <w:tc>
          <w:tcPr>
            <w:tcW w:w="2792" w:type="dxa"/>
          </w:tcPr>
          <w:p w14:paraId="150207A2" w14:textId="77777777" w:rsidR="00FD1C5C" w:rsidRDefault="00B37A04">
            <w:pPr>
              <w:jc w:val="both"/>
              <w:rPr>
                <w:rFonts w:ascii="Times New Roman" w:hAnsi="Times New Roman"/>
                <w:b/>
                <w:color w:val="548DD4" w:themeColor="text2" w:themeTint="99"/>
              </w:rPr>
            </w:pPr>
            <w:r>
              <w:rPr>
                <w:rFonts w:ascii="Times New Roman" w:hAnsi="Times New Roman"/>
                <w:b/>
                <w:color w:val="548DD4" w:themeColor="text2" w:themeTint="99"/>
              </w:rPr>
              <w:t>3.4.</w:t>
            </w:r>
            <w:r>
              <w:rPr>
                <w:rFonts w:ascii="Times New Roman" w:hAnsi="Times New Roman"/>
              </w:rPr>
              <w:t xml:space="preserve"> Направление субъекту розничного рынка, указанного в заявке, акта допуска прибора учета в эксплуатацию,</w:t>
            </w:r>
            <w:r>
              <w:t xml:space="preserve"> </w:t>
            </w:r>
            <w:r>
              <w:rPr>
                <w:rFonts w:ascii="Times New Roman" w:hAnsi="Times New Roman"/>
              </w:rPr>
              <w:t>уведомления об обеспечении сетевой организацией возможности присоединения к электрическим сетям, подписанные ЭП.</w:t>
            </w:r>
          </w:p>
        </w:tc>
        <w:tc>
          <w:tcPr>
            <w:tcW w:w="2153" w:type="dxa"/>
          </w:tcPr>
          <w:p w14:paraId="09EB91D8" w14:textId="77777777" w:rsidR="00FD1C5C" w:rsidRDefault="00B37A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Электронная</w:t>
            </w:r>
          </w:p>
        </w:tc>
        <w:tc>
          <w:tcPr>
            <w:tcW w:w="1846" w:type="dxa"/>
          </w:tcPr>
          <w:p w14:paraId="2D46C397" w14:textId="77777777" w:rsidR="00FD1C5C" w:rsidRDefault="00B37A0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2 рабочих дней со дня размещения в личном кабинете потребителя</w:t>
            </w:r>
          </w:p>
        </w:tc>
        <w:tc>
          <w:tcPr>
            <w:tcW w:w="2536" w:type="dxa"/>
          </w:tcPr>
          <w:p w14:paraId="0ECA5392" w14:textId="77777777" w:rsidR="00FD1C5C" w:rsidRDefault="00B37A04">
            <w:pPr>
              <w:ind w:left="-16" w:hanging="1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Пункт 109 Правил ТП</w:t>
            </w:r>
          </w:p>
        </w:tc>
      </w:tr>
      <w:tr w:rsidR="00FD1C5C" w14:paraId="2FAC3161" w14:textId="77777777">
        <w:trPr>
          <w:trHeight w:val="695"/>
        </w:trPr>
        <w:tc>
          <w:tcPr>
            <w:tcW w:w="591" w:type="dxa"/>
            <w:vMerge/>
          </w:tcPr>
          <w:p w14:paraId="03AD72E7" w14:textId="77777777" w:rsidR="00FD1C5C" w:rsidRDefault="00FD1C5C"/>
        </w:tc>
        <w:tc>
          <w:tcPr>
            <w:tcW w:w="2181" w:type="dxa"/>
            <w:vMerge/>
          </w:tcPr>
          <w:p w14:paraId="301DB926" w14:textId="77777777" w:rsidR="00FD1C5C" w:rsidRDefault="00FD1C5C"/>
        </w:tc>
        <w:tc>
          <w:tcPr>
            <w:tcW w:w="2099" w:type="dxa"/>
          </w:tcPr>
          <w:p w14:paraId="7F54BE3C" w14:textId="77777777" w:rsidR="00FD1C5C" w:rsidRDefault="00B37A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 напряжения выше 0,4кВ</w:t>
            </w:r>
          </w:p>
        </w:tc>
        <w:tc>
          <w:tcPr>
            <w:tcW w:w="2792" w:type="dxa"/>
          </w:tcPr>
          <w:p w14:paraId="7112F3C6" w14:textId="4C61FD75" w:rsidR="00FD1C5C" w:rsidRDefault="00B37A04">
            <w:pPr>
              <w:jc w:val="both"/>
              <w:rPr>
                <w:rFonts w:ascii="Times New Roman" w:hAnsi="Times New Roman"/>
                <w:b/>
                <w:color w:val="548DD4" w:themeColor="text2" w:themeTint="99"/>
              </w:rPr>
            </w:pPr>
            <w:r>
              <w:rPr>
                <w:rFonts w:ascii="Times New Roman" w:hAnsi="Times New Roman"/>
                <w:b/>
                <w:color w:val="548DD4" w:themeColor="text2" w:themeTint="99"/>
              </w:rPr>
              <w:t>3.5</w:t>
            </w:r>
            <w:r>
              <w:rPr>
                <w:rFonts w:ascii="Times New Roman" w:hAnsi="Times New Roman"/>
              </w:rPr>
              <w:t xml:space="preserve">. Направление заявителем в </w:t>
            </w:r>
            <w:r w:rsidR="00AB5588">
              <w:rPr>
                <w:rFonts w:ascii="Times New Roman" w:hAnsi="Times New Roman"/>
              </w:rPr>
              <w:t>АО «ВГЭС»</w:t>
            </w:r>
            <w:r>
              <w:rPr>
                <w:rFonts w:ascii="Times New Roman" w:hAnsi="Times New Roman"/>
              </w:rPr>
              <w:t xml:space="preserve"> уведомления о выполнении технических условий с необходимым пакетом документов </w:t>
            </w:r>
          </w:p>
        </w:tc>
        <w:tc>
          <w:tcPr>
            <w:tcW w:w="2153" w:type="dxa"/>
          </w:tcPr>
          <w:p w14:paraId="7F1EF1C8" w14:textId="77777777" w:rsidR="00FD1C5C" w:rsidRDefault="00B37A0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Письменная, электронная (посредством Личного кабинета), по телефону единого центра поддержки клиентов</w:t>
            </w:r>
          </w:p>
        </w:tc>
        <w:tc>
          <w:tcPr>
            <w:tcW w:w="1846" w:type="dxa"/>
          </w:tcPr>
          <w:p w14:paraId="612E736D" w14:textId="77777777" w:rsidR="00FD1C5C" w:rsidRDefault="00B37A0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После выполнения технических условий</w:t>
            </w:r>
          </w:p>
        </w:tc>
        <w:tc>
          <w:tcPr>
            <w:tcW w:w="2536" w:type="dxa"/>
          </w:tcPr>
          <w:p w14:paraId="4E0EFA7B" w14:textId="77777777" w:rsidR="00FD1C5C" w:rsidRDefault="00B37A04">
            <w:pPr>
              <w:ind w:left="-16" w:hanging="1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Пункты 85, 86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FD1C5C" w14:paraId="6A5A1454" w14:textId="77777777">
        <w:trPr>
          <w:trHeight w:val="1958"/>
        </w:trPr>
        <w:tc>
          <w:tcPr>
            <w:tcW w:w="591" w:type="dxa"/>
            <w:vMerge w:val="restart"/>
          </w:tcPr>
          <w:p w14:paraId="7BEF10E7" w14:textId="77777777" w:rsidR="00FD1C5C" w:rsidRDefault="00B37A04">
            <w:pPr>
              <w:jc w:val="both"/>
              <w:rPr>
                <w:rFonts w:ascii="Times New Roman" w:hAnsi="Times New Roman"/>
                <w:color w:val="548DD4" w:themeColor="text2" w:themeTint="99"/>
              </w:rPr>
            </w:pPr>
            <w:r>
              <w:rPr>
                <w:rFonts w:ascii="Times New Roman" w:hAnsi="Times New Roman"/>
                <w:color w:val="548DD4" w:themeColor="text2" w:themeTint="99"/>
              </w:rPr>
              <w:t>4</w:t>
            </w:r>
          </w:p>
          <w:p w14:paraId="1D6876BD" w14:textId="77777777" w:rsidR="00FD1C5C" w:rsidRDefault="00FD1C5C">
            <w:pPr>
              <w:jc w:val="both"/>
              <w:rPr>
                <w:rFonts w:ascii="Times New Roman" w:hAnsi="Times New Roman"/>
                <w:color w:val="548DD4" w:themeColor="text2" w:themeTint="99"/>
              </w:rPr>
            </w:pPr>
          </w:p>
        </w:tc>
        <w:tc>
          <w:tcPr>
            <w:tcW w:w="2181" w:type="dxa"/>
            <w:vMerge w:val="restart"/>
          </w:tcPr>
          <w:p w14:paraId="4B9FFE36" w14:textId="77777777" w:rsidR="00FD1C5C" w:rsidRDefault="00B37A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Проверка выполнения технических условий. Фактическое подключение (уровень напряжения выше 0,4кВ)</w:t>
            </w:r>
          </w:p>
          <w:p w14:paraId="53E83761" w14:textId="77777777" w:rsidR="00FD1C5C" w:rsidRDefault="00FD1C5C">
            <w:pPr>
              <w:rPr>
                <w:rFonts w:ascii="Times New Roman" w:hAnsi="Times New Roman"/>
              </w:rPr>
            </w:pPr>
          </w:p>
        </w:tc>
        <w:tc>
          <w:tcPr>
            <w:tcW w:w="2099" w:type="dxa"/>
          </w:tcPr>
          <w:p w14:paraId="0EA1754F" w14:textId="77777777" w:rsidR="00FD1C5C" w:rsidRDefault="00B37A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Уровень напряжения выше 0,4кВ.</w:t>
            </w:r>
          </w:p>
          <w:p w14:paraId="631E0ED8" w14:textId="77777777" w:rsidR="00FD1C5C" w:rsidRDefault="00B37A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Получение от заявителя уведомления о выполнении технических условий</w:t>
            </w:r>
          </w:p>
        </w:tc>
        <w:tc>
          <w:tcPr>
            <w:tcW w:w="2792" w:type="dxa"/>
          </w:tcPr>
          <w:p w14:paraId="132C68B0" w14:textId="77777777" w:rsidR="00FD1C5C" w:rsidRDefault="00B37A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548DD4" w:themeColor="text2" w:themeTint="99"/>
              </w:rPr>
              <w:t>4.1.</w:t>
            </w:r>
            <w:r>
              <w:rPr>
                <w:rFonts w:ascii="Times New Roman" w:hAnsi="Times New Roman"/>
              </w:rPr>
              <w:t xml:space="preserve"> Проверка соответствия технических решений, параметров оборудования (устройств) и проведенных мероприятий требованиям технических условий. </w:t>
            </w:r>
          </w:p>
        </w:tc>
        <w:tc>
          <w:tcPr>
            <w:tcW w:w="2153" w:type="dxa"/>
          </w:tcPr>
          <w:p w14:paraId="29B8D0DA" w14:textId="77777777" w:rsidR="00FD1C5C" w:rsidRDefault="00B37A0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Выезд на объект.</w:t>
            </w:r>
          </w:p>
          <w:p w14:paraId="3230F56A" w14:textId="77777777" w:rsidR="00FD1C5C" w:rsidRDefault="00B37A0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наличии замечаний – перечень замечаний. </w:t>
            </w:r>
          </w:p>
        </w:tc>
        <w:tc>
          <w:tcPr>
            <w:tcW w:w="1846" w:type="dxa"/>
          </w:tcPr>
          <w:p w14:paraId="1B43C285" w14:textId="77777777" w:rsidR="00FD1C5C" w:rsidRDefault="00B37A04">
            <w:r>
              <w:rPr>
                <w:rFonts w:ascii="Times New Roman" w:hAnsi="Times New Roman"/>
              </w:rPr>
              <w:t>В течение 10 дней со дня получения от заявителя документов</w:t>
            </w:r>
            <w:r>
              <w:t xml:space="preserve"> </w:t>
            </w:r>
          </w:p>
          <w:p w14:paraId="118A2815" w14:textId="77777777" w:rsidR="00FD1C5C" w:rsidRDefault="00FD1C5C">
            <w:pPr>
              <w:rPr>
                <w:rFonts w:ascii="Times New Roman" w:hAnsi="Times New Roman"/>
              </w:rPr>
            </w:pPr>
          </w:p>
        </w:tc>
        <w:tc>
          <w:tcPr>
            <w:tcW w:w="2536" w:type="dxa"/>
          </w:tcPr>
          <w:p w14:paraId="7C307735" w14:textId="77777777" w:rsidR="00FD1C5C" w:rsidRDefault="00B37A04">
            <w:pPr>
              <w:ind w:left="-16" w:hanging="1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Пункты 83-89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FD1C5C" w14:paraId="2C271408" w14:textId="77777777">
        <w:trPr>
          <w:trHeight w:val="298"/>
        </w:trPr>
        <w:tc>
          <w:tcPr>
            <w:tcW w:w="591" w:type="dxa"/>
            <w:vMerge/>
          </w:tcPr>
          <w:p w14:paraId="1CCABFE5" w14:textId="77777777" w:rsidR="00FD1C5C" w:rsidRDefault="00FD1C5C"/>
        </w:tc>
        <w:tc>
          <w:tcPr>
            <w:tcW w:w="2181" w:type="dxa"/>
            <w:vMerge/>
          </w:tcPr>
          <w:p w14:paraId="293084D1" w14:textId="77777777" w:rsidR="00FD1C5C" w:rsidRDefault="00FD1C5C"/>
        </w:tc>
        <w:tc>
          <w:tcPr>
            <w:tcW w:w="2099" w:type="dxa"/>
          </w:tcPr>
          <w:p w14:paraId="45640A7C" w14:textId="77777777" w:rsidR="00FD1C5C" w:rsidRDefault="00B37A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случае невыполнения заявителем требований технических условий. Получение от заявителя уведомления об устранении замечаний по выполнению технических условий</w:t>
            </w:r>
          </w:p>
        </w:tc>
        <w:tc>
          <w:tcPr>
            <w:tcW w:w="2792" w:type="dxa"/>
          </w:tcPr>
          <w:p w14:paraId="29F3189B" w14:textId="77777777" w:rsidR="00FD1C5C" w:rsidRDefault="00B37A04">
            <w:pPr>
              <w:rPr>
                <w:rFonts w:ascii="Times New Roman" w:hAnsi="Times New Roman"/>
                <w:b/>
                <w:color w:val="548DD4" w:themeColor="text2" w:themeTint="99"/>
              </w:rPr>
            </w:pPr>
            <w:r>
              <w:rPr>
                <w:rFonts w:ascii="Times New Roman" w:hAnsi="Times New Roman"/>
                <w:b/>
                <w:color w:val="548DD4" w:themeColor="text2" w:themeTint="99"/>
              </w:rPr>
              <w:t>4.2.</w:t>
            </w:r>
            <w:r>
              <w:rPr>
                <w:rFonts w:ascii="Times New Roman" w:hAnsi="Times New Roman"/>
              </w:rPr>
              <w:t xml:space="preserve"> Повторный осмотр электроустановки заявителя </w:t>
            </w:r>
          </w:p>
        </w:tc>
        <w:tc>
          <w:tcPr>
            <w:tcW w:w="2153" w:type="dxa"/>
          </w:tcPr>
          <w:p w14:paraId="6E03B8D0" w14:textId="77777777" w:rsidR="00FD1C5C" w:rsidRDefault="00B37A0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Выезд на объект. При наличии замечаний – перечень замечаний.</w:t>
            </w:r>
          </w:p>
        </w:tc>
        <w:tc>
          <w:tcPr>
            <w:tcW w:w="1846" w:type="dxa"/>
          </w:tcPr>
          <w:p w14:paraId="1FD600D8" w14:textId="77777777" w:rsidR="00FD1C5C" w:rsidRDefault="00B37A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позднее 3 рабочих дней после получения от заявителя уведомления об устранении замечаний с приложением информации о принятых мерах по их устранению.</w:t>
            </w:r>
          </w:p>
        </w:tc>
        <w:tc>
          <w:tcPr>
            <w:tcW w:w="2536" w:type="dxa"/>
          </w:tcPr>
          <w:p w14:paraId="6FEB2CEB" w14:textId="77777777" w:rsidR="00FD1C5C" w:rsidRDefault="00B37A04">
            <w:pPr>
              <w:ind w:left="-16" w:hanging="1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Пункт 89 Правил ТП</w:t>
            </w:r>
          </w:p>
        </w:tc>
      </w:tr>
      <w:tr w:rsidR="00FD1C5C" w14:paraId="1E180A05" w14:textId="77777777">
        <w:trPr>
          <w:trHeight w:val="695"/>
        </w:trPr>
        <w:tc>
          <w:tcPr>
            <w:tcW w:w="591" w:type="dxa"/>
            <w:vMerge/>
          </w:tcPr>
          <w:p w14:paraId="723836AB" w14:textId="77777777" w:rsidR="00FD1C5C" w:rsidRDefault="00FD1C5C"/>
        </w:tc>
        <w:tc>
          <w:tcPr>
            <w:tcW w:w="2181" w:type="dxa"/>
            <w:vMerge/>
          </w:tcPr>
          <w:p w14:paraId="71962E10" w14:textId="77777777" w:rsidR="00FD1C5C" w:rsidRDefault="00FD1C5C"/>
        </w:tc>
        <w:tc>
          <w:tcPr>
            <w:tcW w:w="2099" w:type="dxa"/>
          </w:tcPr>
          <w:p w14:paraId="2972040A" w14:textId="4E7ED926" w:rsidR="00FD1C5C" w:rsidRDefault="00B37A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Выполненные заявителем мероприятия соответствуют техническим условиям технических условий</w:t>
            </w:r>
          </w:p>
        </w:tc>
        <w:tc>
          <w:tcPr>
            <w:tcW w:w="2792" w:type="dxa"/>
          </w:tcPr>
          <w:p w14:paraId="1611C096" w14:textId="77777777" w:rsidR="00FD1C5C" w:rsidRDefault="00B37A0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548DD4" w:themeColor="text2" w:themeTint="99"/>
              </w:rPr>
              <w:t>4.3.</w:t>
            </w:r>
            <w:r>
              <w:rPr>
                <w:rFonts w:ascii="Times New Roman" w:hAnsi="Times New Roman"/>
              </w:rPr>
              <w:t xml:space="preserve"> Подготовка Акта о выполнении технических условий.</w:t>
            </w:r>
          </w:p>
        </w:tc>
        <w:tc>
          <w:tcPr>
            <w:tcW w:w="2153" w:type="dxa"/>
          </w:tcPr>
          <w:p w14:paraId="421602E0" w14:textId="0CCCB09C" w:rsidR="00FD1C5C" w:rsidRDefault="00B37A0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Электронная. АВТУ, АДПУ, подписанный ЭП </w:t>
            </w:r>
            <w:r w:rsidR="00AB5588">
              <w:rPr>
                <w:rFonts w:ascii="Times New Roman" w:hAnsi="Times New Roman"/>
              </w:rPr>
              <w:t>АО «ВГЭС»</w:t>
            </w:r>
            <w:r>
              <w:rPr>
                <w:rFonts w:ascii="Times New Roman" w:hAnsi="Times New Roman"/>
              </w:rPr>
              <w:t xml:space="preserve"> размещается в Личном кабинете заявителя.</w:t>
            </w:r>
          </w:p>
        </w:tc>
        <w:tc>
          <w:tcPr>
            <w:tcW w:w="1846" w:type="dxa"/>
          </w:tcPr>
          <w:p w14:paraId="617910AF" w14:textId="77777777" w:rsidR="00FD1C5C" w:rsidRDefault="00B37A0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день проведения проверки </w:t>
            </w:r>
          </w:p>
        </w:tc>
        <w:tc>
          <w:tcPr>
            <w:tcW w:w="2536" w:type="dxa"/>
          </w:tcPr>
          <w:p w14:paraId="7C81E416" w14:textId="77777777" w:rsidR="00FD1C5C" w:rsidRDefault="00B37A04">
            <w:pPr>
              <w:ind w:left="-16" w:hanging="1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Пункт 110 Правил ТП </w:t>
            </w:r>
          </w:p>
        </w:tc>
      </w:tr>
      <w:tr w:rsidR="00FD1C5C" w14:paraId="15692CA3" w14:textId="77777777">
        <w:trPr>
          <w:trHeight w:val="2157"/>
        </w:trPr>
        <w:tc>
          <w:tcPr>
            <w:tcW w:w="591" w:type="dxa"/>
            <w:vMerge/>
          </w:tcPr>
          <w:p w14:paraId="1B451632" w14:textId="77777777" w:rsidR="00FD1C5C" w:rsidRDefault="00FD1C5C"/>
        </w:tc>
        <w:tc>
          <w:tcPr>
            <w:tcW w:w="2181" w:type="dxa"/>
            <w:vMerge/>
          </w:tcPr>
          <w:p w14:paraId="44712E5E" w14:textId="77777777" w:rsidR="00FD1C5C" w:rsidRDefault="00FD1C5C"/>
        </w:tc>
        <w:tc>
          <w:tcPr>
            <w:tcW w:w="2099" w:type="dxa"/>
            <w:vMerge w:val="restart"/>
          </w:tcPr>
          <w:p w14:paraId="450C9A73" w14:textId="77777777" w:rsidR="00FD1C5C" w:rsidRDefault="00B37A0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Выполнение сторонами мероприятий по ТП </w:t>
            </w:r>
          </w:p>
        </w:tc>
        <w:tc>
          <w:tcPr>
            <w:tcW w:w="2792" w:type="dxa"/>
          </w:tcPr>
          <w:p w14:paraId="0F8E0080" w14:textId="77777777" w:rsidR="00FD1C5C" w:rsidRDefault="00B37A0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548DD4" w:themeColor="text2" w:themeTint="99"/>
              </w:rPr>
              <w:t>4.4.</w:t>
            </w:r>
            <w:r>
              <w:rPr>
                <w:rFonts w:ascii="Times New Roman" w:hAnsi="Times New Roman"/>
              </w:rPr>
              <w:t> Фактическое присоединение объектов заявителя к электрическим сетям и включение коммутационного аппарата (фиксация коммутационного аппарата в положении "включено").</w:t>
            </w:r>
          </w:p>
        </w:tc>
        <w:tc>
          <w:tcPr>
            <w:tcW w:w="2153" w:type="dxa"/>
          </w:tcPr>
          <w:p w14:paraId="55B5F65B" w14:textId="77777777" w:rsidR="00FD1C5C" w:rsidRDefault="00B37A0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Выезд на объект</w:t>
            </w:r>
          </w:p>
        </w:tc>
        <w:tc>
          <w:tcPr>
            <w:tcW w:w="1846" w:type="dxa"/>
          </w:tcPr>
          <w:p w14:paraId="40B8E251" w14:textId="77777777" w:rsidR="00FD1C5C" w:rsidRDefault="00B37A0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соответствии с условиями договора</w:t>
            </w:r>
          </w:p>
        </w:tc>
        <w:tc>
          <w:tcPr>
            <w:tcW w:w="2536" w:type="dxa"/>
          </w:tcPr>
          <w:p w14:paraId="0FCF0E6D" w14:textId="77777777" w:rsidR="00FD1C5C" w:rsidRDefault="00B37A04">
            <w:pPr>
              <w:ind w:left="-16" w:hanging="1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Пункты 7, 18 Правил ТП</w:t>
            </w:r>
          </w:p>
        </w:tc>
      </w:tr>
      <w:tr w:rsidR="00FD1C5C" w14:paraId="7C755697" w14:textId="77777777">
        <w:trPr>
          <w:trHeight w:val="270"/>
        </w:trPr>
        <w:tc>
          <w:tcPr>
            <w:tcW w:w="591" w:type="dxa"/>
            <w:vMerge/>
          </w:tcPr>
          <w:p w14:paraId="7EE2362A" w14:textId="77777777" w:rsidR="00FD1C5C" w:rsidRDefault="00FD1C5C"/>
        </w:tc>
        <w:tc>
          <w:tcPr>
            <w:tcW w:w="2181" w:type="dxa"/>
            <w:vMerge/>
          </w:tcPr>
          <w:p w14:paraId="4744D800" w14:textId="77777777" w:rsidR="00FD1C5C" w:rsidRDefault="00FD1C5C"/>
        </w:tc>
        <w:tc>
          <w:tcPr>
            <w:tcW w:w="2099" w:type="dxa"/>
            <w:vMerge/>
          </w:tcPr>
          <w:p w14:paraId="371F63D3" w14:textId="77777777" w:rsidR="00FD1C5C" w:rsidRDefault="00FD1C5C"/>
        </w:tc>
        <w:tc>
          <w:tcPr>
            <w:tcW w:w="2792" w:type="dxa"/>
          </w:tcPr>
          <w:p w14:paraId="4A4557BD" w14:textId="77777777" w:rsidR="00FD1C5C" w:rsidRDefault="00B37A0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548DD4" w:themeColor="text2" w:themeTint="99"/>
              </w:rPr>
              <w:t>4.5.</w:t>
            </w:r>
            <w:r>
              <w:rPr>
                <w:rFonts w:ascii="Times New Roman" w:hAnsi="Times New Roman"/>
              </w:rPr>
              <w:t xml:space="preserve">  Подготовка Акта технологического присоединения.</w:t>
            </w:r>
          </w:p>
        </w:tc>
        <w:tc>
          <w:tcPr>
            <w:tcW w:w="2153" w:type="dxa"/>
          </w:tcPr>
          <w:p w14:paraId="6143CF71" w14:textId="4AE34D76" w:rsidR="00FD1C5C" w:rsidRDefault="00B37A0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Электронная. Акт ТП, подписанный ЭП </w:t>
            </w:r>
            <w:r w:rsidR="00AB5588">
              <w:rPr>
                <w:rFonts w:ascii="Times New Roman" w:hAnsi="Times New Roman"/>
              </w:rPr>
              <w:t>АО «ВГЭС»</w:t>
            </w:r>
            <w:r>
              <w:rPr>
                <w:rFonts w:ascii="Times New Roman" w:hAnsi="Times New Roman"/>
              </w:rPr>
              <w:t xml:space="preserve"> размещается в </w:t>
            </w:r>
            <w:r>
              <w:rPr>
                <w:rFonts w:ascii="Times New Roman" w:hAnsi="Times New Roman"/>
              </w:rPr>
              <w:lastRenderedPageBreak/>
              <w:t>Личном кабинете заявителя.</w:t>
            </w:r>
          </w:p>
        </w:tc>
        <w:tc>
          <w:tcPr>
            <w:tcW w:w="1846" w:type="dxa"/>
          </w:tcPr>
          <w:p w14:paraId="0179FD78" w14:textId="77777777" w:rsidR="00FD1C5C" w:rsidRDefault="00B37A0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В течение 3 рабочих дней после проведения </w:t>
            </w:r>
            <w:r>
              <w:rPr>
                <w:rFonts w:ascii="Times New Roman" w:hAnsi="Times New Roman"/>
              </w:rPr>
              <w:lastRenderedPageBreak/>
              <w:t>фактического присоединения</w:t>
            </w:r>
          </w:p>
        </w:tc>
        <w:tc>
          <w:tcPr>
            <w:tcW w:w="2536" w:type="dxa"/>
          </w:tcPr>
          <w:p w14:paraId="3FFD88C9" w14:textId="77777777" w:rsidR="00FD1C5C" w:rsidRDefault="00B37A04">
            <w:pPr>
              <w:ind w:left="-16" w:hanging="1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Пункт 19, 110 Правил ТП</w:t>
            </w:r>
          </w:p>
        </w:tc>
      </w:tr>
      <w:tr w:rsidR="00FD1C5C" w14:paraId="60616D92" w14:textId="77777777">
        <w:trPr>
          <w:trHeight w:val="695"/>
        </w:trPr>
        <w:tc>
          <w:tcPr>
            <w:tcW w:w="591" w:type="dxa"/>
            <w:vMerge/>
          </w:tcPr>
          <w:p w14:paraId="3C87E6C7" w14:textId="77777777" w:rsidR="00FD1C5C" w:rsidRDefault="00FD1C5C"/>
        </w:tc>
        <w:tc>
          <w:tcPr>
            <w:tcW w:w="2181" w:type="dxa"/>
            <w:vMerge/>
          </w:tcPr>
          <w:p w14:paraId="44AD26F3" w14:textId="77777777" w:rsidR="00FD1C5C" w:rsidRDefault="00FD1C5C"/>
        </w:tc>
        <w:tc>
          <w:tcPr>
            <w:tcW w:w="2099" w:type="dxa"/>
          </w:tcPr>
          <w:p w14:paraId="41BC1D22" w14:textId="77777777" w:rsidR="00FD1C5C" w:rsidRDefault="00B37A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Размещение в Личном кабинете заявителя</w:t>
            </w:r>
          </w:p>
          <w:p w14:paraId="68B6678F" w14:textId="77777777" w:rsidR="00FD1C5C" w:rsidRDefault="00B37A0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Акта об осуществлении технологического присоединения</w:t>
            </w:r>
          </w:p>
          <w:p w14:paraId="38AFBA5B" w14:textId="77777777" w:rsidR="00FD1C5C" w:rsidRDefault="00FD1C5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92" w:type="dxa"/>
          </w:tcPr>
          <w:p w14:paraId="488D13FE" w14:textId="77777777" w:rsidR="00FD1C5C" w:rsidRDefault="00B37A0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548DD4" w:themeColor="text2" w:themeTint="99"/>
              </w:rPr>
              <w:t xml:space="preserve">4.6. </w:t>
            </w:r>
            <w:r>
              <w:rPr>
                <w:rFonts w:ascii="Times New Roman" w:hAnsi="Times New Roman"/>
              </w:rPr>
              <w:t>Направление гарантирующему поставщику, указанного в заявке, акта об осуществлении технологического присоединения (уведомления об обеспечении возможности ТП)</w:t>
            </w:r>
          </w:p>
          <w:p w14:paraId="6744D66E" w14:textId="77777777" w:rsidR="00FD1C5C" w:rsidRDefault="00FD1C5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153" w:type="dxa"/>
          </w:tcPr>
          <w:p w14:paraId="56E32E06" w14:textId="77777777" w:rsidR="00FD1C5C" w:rsidRDefault="00B37A04">
            <w:pPr>
              <w:jc w:val="center"/>
              <w:outlineLvl w:val="0"/>
            </w:pPr>
            <w:r>
              <w:rPr>
                <w:rFonts w:ascii="Times New Roman" w:hAnsi="Times New Roman"/>
              </w:rPr>
              <w:t xml:space="preserve">Электронная. </w:t>
            </w:r>
          </w:p>
        </w:tc>
        <w:tc>
          <w:tcPr>
            <w:tcW w:w="1846" w:type="dxa"/>
          </w:tcPr>
          <w:p w14:paraId="646983E1" w14:textId="77777777" w:rsidR="00FD1C5C" w:rsidRDefault="00B37A04">
            <w:pPr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2 рабочих дней со дня размещения в личном кабинете заявителя акта об осуществлении технологического присоединения</w:t>
            </w:r>
          </w:p>
        </w:tc>
        <w:tc>
          <w:tcPr>
            <w:tcW w:w="2536" w:type="dxa"/>
          </w:tcPr>
          <w:p w14:paraId="3EF53790" w14:textId="60A1E7FE" w:rsidR="00FD1C5C" w:rsidRDefault="00B37A04">
            <w:r>
              <w:rPr>
                <w:rFonts w:ascii="Times New Roman" w:hAnsi="Times New Roman"/>
              </w:rPr>
              <w:t>Пункт 111 Правил ТП</w:t>
            </w:r>
          </w:p>
        </w:tc>
      </w:tr>
      <w:tr w:rsidR="00FD1C5C" w14:paraId="7C85CC7C" w14:textId="77777777">
        <w:trPr>
          <w:trHeight w:val="695"/>
        </w:trPr>
        <w:tc>
          <w:tcPr>
            <w:tcW w:w="591" w:type="dxa"/>
            <w:vMerge w:val="restart"/>
          </w:tcPr>
          <w:p w14:paraId="14B56736" w14:textId="77777777" w:rsidR="00FD1C5C" w:rsidRDefault="00B37A04">
            <w:pPr>
              <w:jc w:val="both"/>
              <w:rPr>
                <w:rFonts w:ascii="Times New Roman" w:hAnsi="Times New Roman"/>
                <w:color w:val="548DD4" w:themeColor="text2" w:themeTint="99"/>
              </w:rPr>
            </w:pPr>
            <w:r>
              <w:rPr>
                <w:rFonts w:ascii="Times New Roman" w:hAnsi="Times New Roman"/>
                <w:color w:val="548DD4" w:themeColor="text2" w:themeTint="99"/>
              </w:rPr>
              <w:t>4.1.</w:t>
            </w:r>
          </w:p>
        </w:tc>
        <w:tc>
          <w:tcPr>
            <w:tcW w:w="2181" w:type="dxa"/>
            <w:vMerge w:val="restart"/>
          </w:tcPr>
          <w:p w14:paraId="0E454F0C" w14:textId="77777777" w:rsidR="00FD1C5C" w:rsidRDefault="00B37A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Принятие заявителем АТП</w:t>
            </w:r>
          </w:p>
        </w:tc>
        <w:tc>
          <w:tcPr>
            <w:tcW w:w="2099" w:type="dxa"/>
          </w:tcPr>
          <w:p w14:paraId="13F63D54" w14:textId="77777777" w:rsidR="00FD1C5C" w:rsidRDefault="00B37A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у заявителя замечаний к АТП, АВТУ, уведомлению об обеспечении сетевой организацией возможности присоединения к электрическим сетям.</w:t>
            </w:r>
          </w:p>
          <w:p w14:paraId="689B7B4E" w14:textId="0E2FBDE0" w:rsidR="00FD1C5C" w:rsidRDefault="00B37A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Ненадлежащее исполнение </w:t>
            </w:r>
            <w:r w:rsidR="00AB5588">
              <w:rPr>
                <w:rFonts w:ascii="Times New Roman" w:hAnsi="Times New Roman"/>
              </w:rPr>
              <w:t>АО «ВГЭС»</w:t>
            </w:r>
            <w:r>
              <w:rPr>
                <w:rFonts w:ascii="Times New Roman" w:hAnsi="Times New Roman"/>
              </w:rPr>
              <w:t xml:space="preserve"> технических условий</w:t>
            </w:r>
          </w:p>
        </w:tc>
        <w:tc>
          <w:tcPr>
            <w:tcW w:w="2792" w:type="dxa"/>
          </w:tcPr>
          <w:p w14:paraId="2FD65D97" w14:textId="735D62BD" w:rsidR="00FD1C5C" w:rsidRDefault="00B37A04">
            <w:pPr>
              <w:jc w:val="both"/>
              <w:rPr>
                <w:rFonts w:ascii="Times New Roman" w:hAnsi="Times New Roman"/>
                <w:b/>
                <w:color w:val="548DD4" w:themeColor="text2" w:themeTint="99"/>
              </w:rPr>
            </w:pPr>
            <w:r>
              <w:rPr>
                <w:rFonts w:ascii="Times New Roman" w:hAnsi="Times New Roman"/>
                <w:b/>
                <w:color w:val="548DD4" w:themeColor="text2" w:themeTint="99"/>
              </w:rPr>
              <w:t>4.7.</w:t>
            </w:r>
            <w:r w:rsidR="00AB5588">
              <w:rPr>
                <w:rFonts w:ascii="Times New Roman" w:hAnsi="Times New Roman"/>
                <w:b/>
                <w:color w:val="548DD4" w:themeColor="text2" w:themeTint="99"/>
              </w:rPr>
              <w:t xml:space="preserve"> </w:t>
            </w:r>
            <w:r>
              <w:rPr>
                <w:rFonts w:ascii="Times New Roman" w:hAnsi="Times New Roman"/>
              </w:rPr>
              <w:t>Обращение заявителя об устранении выявленных недостатков по выполнению тех. условий, замечаний к актам</w:t>
            </w:r>
            <w:r>
              <w:rPr>
                <w:rFonts w:ascii="Times New Roman" w:hAnsi="Times New Roman"/>
                <w:b/>
              </w:rPr>
              <w:t xml:space="preserve">  </w:t>
            </w:r>
          </w:p>
        </w:tc>
        <w:tc>
          <w:tcPr>
            <w:tcW w:w="2153" w:type="dxa"/>
          </w:tcPr>
          <w:p w14:paraId="4DD1462B" w14:textId="77777777" w:rsidR="00FD1C5C" w:rsidRDefault="00B37A04">
            <w:pPr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Электронная.</w:t>
            </w:r>
          </w:p>
        </w:tc>
        <w:tc>
          <w:tcPr>
            <w:tcW w:w="1846" w:type="dxa"/>
          </w:tcPr>
          <w:p w14:paraId="707DB111" w14:textId="77777777" w:rsidR="00FD1C5C" w:rsidRDefault="00B37A04">
            <w:pPr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рабочих дней с даты размещения актов в Личном кабинете при наличии замечаний к составленным актам;</w:t>
            </w:r>
          </w:p>
          <w:p w14:paraId="20FEC407" w14:textId="77777777" w:rsidR="00FD1C5C" w:rsidRDefault="00FD1C5C">
            <w:pPr>
              <w:outlineLvl w:val="0"/>
              <w:rPr>
                <w:rFonts w:ascii="Times New Roman" w:hAnsi="Times New Roman"/>
              </w:rPr>
            </w:pPr>
          </w:p>
          <w:p w14:paraId="68B2F4EA" w14:textId="3F774617" w:rsidR="00FD1C5C" w:rsidRDefault="00B37A04">
            <w:pPr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 месяцев с даты размещения актов в Личном кабинете при выявлении ненадлежащего исполнения </w:t>
            </w:r>
            <w:r w:rsidR="00AB5588">
              <w:rPr>
                <w:rFonts w:ascii="Times New Roman" w:hAnsi="Times New Roman"/>
              </w:rPr>
              <w:t>АО «ВГЭС»</w:t>
            </w:r>
            <w:r>
              <w:rPr>
                <w:rFonts w:ascii="Times New Roman" w:hAnsi="Times New Roman"/>
              </w:rPr>
              <w:t xml:space="preserve"> технических условий</w:t>
            </w:r>
          </w:p>
        </w:tc>
        <w:tc>
          <w:tcPr>
            <w:tcW w:w="2536" w:type="dxa"/>
          </w:tcPr>
          <w:p w14:paraId="346AB3F0" w14:textId="77777777" w:rsidR="00FD1C5C" w:rsidRDefault="00B37A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Пункт 110 Правил ТП  </w:t>
            </w:r>
          </w:p>
        </w:tc>
      </w:tr>
      <w:tr w:rsidR="00FD1C5C" w14:paraId="780D2BD4" w14:textId="77777777">
        <w:trPr>
          <w:trHeight w:val="300"/>
        </w:trPr>
        <w:tc>
          <w:tcPr>
            <w:tcW w:w="591" w:type="dxa"/>
            <w:vMerge/>
          </w:tcPr>
          <w:p w14:paraId="3402AA22" w14:textId="77777777" w:rsidR="00FD1C5C" w:rsidRDefault="00FD1C5C"/>
        </w:tc>
        <w:tc>
          <w:tcPr>
            <w:tcW w:w="2181" w:type="dxa"/>
            <w:vMerge/>
          </w:tcPr>
          <w:p w14:paraId="6545A235" w14:textId="77777777" w:rsidR="00FD1C5C" w:rsidRDefault="00FD1C5C"/>
        </w:tc>
        <w:tc>
          <w:tcPr>
            <w:tcW w:w="2099" w:type="dxa"/>
          </w:tcPr>
          <w:p w14:paraId="3B6CAC83" w14:textId="77EF6998" w:rsidR="00FD1C5C" w:rsidRDefault="00B37A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Поступление от заявителя замечаний к актам </w:t>
            </w:r>
            <w:r>
              <w:rPr>
                <w:rFonts w:ascii="Times New Roman" w:hAnsi="Times New Roman"/>
              </w:rPr>
              <w:lastRenderedPageBreak/>
              <w:t xml:space="preserve">(уведомлению), к исполнению </w:t>
            </w:r>
            <w:r w:rsidR="00AB5588">
              <w:rPr>
                <w:rFonts w:ascii="Times New Roman" w:hAnsi="Times New Roman"/>
              </w:rPr>
              <w:t>АО «ВГЭС»</w:t>
            </w:r>
            <w:r>
              <w:rPr>
                <w:rFonts w:ascii="Times New Roman" w:hAnsi="Times New Roman"/>
              </w:rPr>
              <w:t xml:space="preserve"> технических условий </w:t>
            </w:r>
          </w:p>
        </w:tc>
        <w:tc>
          <w:tcPr>
            <w:tcW w:w="2792" w:type="dxa"/>
          </w:tcPr>
          <w:p w14:paraId="5322EE96" w14:textId="3E4DD483" w:rsidR="00FD1C5C" w:rsidRDefault="00B37A04">
            <w:pPr>
              <w:jc w:val="both"/>
              <w:rPr>
                <w:rFonts w:ascii="Times New Roman" w:hAnsi="Times New Roman"/>
                <w:b/>
                <w:color w:val="548DD4" w:themeColor="text2" w:themeTint="99"/>
              </w:rPr>
            </w:pPr>
            <w:r>
              <w:rPr>
                <w:rFonts w:ascii="Times New Roman" w:hAnsi="Times New Roman"/>
                <w:b/>
                <w:color w:val="548DD4" w:themeColor="text2" w:themeTint="99"/>
              </w:rPr>
              <w:lastRenderedPageBreak/>
              <w:t>4.8.</w:t>
            </w:r>
            <w:r w:rsidR="00AB5588">
              <w:rPr>
                <w:rFonts w:ascii="Times New Roman" w:hAnsi="Times New Roman"/>
                <w:b/>
                <w:color w:val="548DD4" w:themeColor="text2" w:themeTint="99"/>
              </w:rPr>
              <w:t xml:space="preserve"> </w:t>
            </w:r>
            <w:r>
              <w:rPr>
                <w:rFonts w:ascii="Times New Roman" w:hAnsi="Times New Roman"/>
              </w:rPr>
              <w:t>Устранение замечаний заявителя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153" w:type="dxa"/>
          </w:tcPr>
          <w:p w14:paraId="7E27D7E4" w14:textId="77777777" w:rsidR="00FD1C5C" w:rsidRDefault="00FD1C5C">
            <w:pPr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846" w:type="dxa"/>
          </w:tcPr>
          <w:p w14:paraId="59923924" w14:textId="77777777" w:rsidR="00FD1C5C" w:rsidRDefault="00B37A04">
            <w:pPr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10-20 рабочих дней со дня поступления </w:t>
            </w:r>
            <w:r>
              <w:rPr>
                <w:rFonts w:ascii="Times New Roman" w:hAnsi="Times New Roman"/>
              </w:rPr>
              <w:lastRenderedPageBreak/>
              <w:t>замечаний по причине несоответствия реализованных мероприятий техническим условиям.</w:t>
            </w:r>
          </w:p>
        </w:tc>
        <w:tc>
          <w:tcPr>
            <w:tcW w:w="2536" w:type="dxa"/>
          </w:tcPr>
          <w:p w14:paraId="59A708E5" w14:textId="77777777" w:rsidR="00FD1C5C" w:rsidRDefault="00B37A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Пункт 110 Правил ТП  </w:t>
            </w:r>
          </w:p>
        </w:tc>
      </w:tr>
    </w:tbl>
    <w:p w14:paraId="2C5760C6" w14:textId="77777777" w:rsidR="00FD1C5C" w:rsidRDefault="00FD1C5C">
      <w:pPr>
        <w:spacing w:after="0" w:line="240" w:lineRule="auto"/>
        <w:jc w:val="both"/>
        <w:outlineLvl w:val="0"/>
        <w:rPr>
          <w:rFonts w:ascii="Times New Roman" w:hAnsi="Times New Roman"/>
          <w:b/>
          <w:color w:val="548DD4" w:themeColor="text2" w:themeTint="99"/>
          <w:sz w:val="24"/>
        </w:rPr>
      </w:pPr>
    </w:p>
    <w:p w14:paraId="2F28500A" w14:textId="77777777" w:rsidR="00FD1C5C" w:rsidRDefault="00B37A0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548DD4" w:themeColor="text2" w:themeTint="99"/>
          <w:sz w:val="24"/>
        </w:rPr>
        <w:t>КОНТАКТНАЯ ИНФОРМАЦИЯ ДЛЯ НАПРАВЛЕНИЯ ОБРАЩЕНИИЙ:</w:t>
      </w:r>
      <w:r>
        <w:rPr>
          <w:rFonts w:ascii="Times New Roman" w:hAnsi="Times New Roman"/>
          <w:sz w:val="24"/>
        </w:rPr>
        <w:t xml:space="preserve"> </w:t>
      </w:r>
    </w:p>
    <w:p w14:paraId="38936DBE" w14:textId="77777777" w:rsidR="00FD1C5C" w:rsidRDefault="00B37A04">
      <w:pPr>
        <w:pStyle w:val="af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Номер Контакт-Центра: 8 800-220-0-220</w:t>
      </w:r>
    </w:p>
    <w:p w14:paraId="0AE5F143" w14:textId="22A0B27C" w:rsidR="00FD1C5C" w:rsidRDefault="00B37A04">
      <w:pPr>
        <w:pStyle w:val="af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Адрес электронной почты </w:t>
      </w:r>
      <w:r w:rsidR="00AB5588">
        <w:rPr>
          <w:rFonts w:ascii="Times New Roman" w:hAnsi="Times New Roman"/>
          <w:sz w:val="24"/>
        </w:rPr>
        <w:t>АО «ВГЭС»</w:t>
      </w:r>
      <w:r>
        <w:rPr>
          <w:rFonts w:ascii="Times New Roman" w:hAnsi="Times New Roman"/>
          <w:sz w:val="24"/>
        </w:rPr>
        <w:t xml:space="preserve">: </w:t>
      </w:r>
      <w:hyperlink r:id="rId7" w:tgtFrame="_blank" w:history="1">
        <w:r w:rsidR="00AB5588" w:rsidRPr="00AB5588">
          <w:rPr>
            <w:rStyle w:val="af"/>
            <w:b/>
            <w:bCs/>
          </w:rPr>
          <w:t>http://vrnges.ru</w:t>
        </w:r>
      </w:hyperlink>
    </w:p>
    <w:p w14:paraId="722DAE85" w14:textId="77777777" w:rsidR="00FD1C5C" w:rsidRDefault="00FD1C5C">
      <w:pPr>
        <w:spacing w:after="0" w:line="240" w:lineRule="auto"/>
        <w:jc w:val="both"/>
        <w:rPr>
          <w:rFonts w:ascii="Times New Roman" w:hAnsi="Times New Roman"/>
        </w:rPr>
      </w:pPr>
    </w:p>
    <w:sectPr w:rsidR="00FD1C5C">
      <w:pgSz w:w="16838" w:h="11906" w:orient="landscape"/>
      <w:pgMar w:top="993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C33DB" w14:textId="77777777" w:rsidR="00B37A04" w:rsidRDefault="00B37A04">
      <w:pPr>
        <w:spacing w:after="0" w:line="240" w:lineRule="auto"/>
      </w:pPr>
      <w:r>
        <w:separator/>
      </w:r>
    </w:p>
  </w:endnote>
  <w:endnote w:type="continuationSeparator" w:id="0">
    <w:p w14:paraId="207CD7ED" w14:textId="77777777" w:rsidR="00B37A04" w:rsidRDefault="00B37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C5BB2" w14:textId="77777777" w:rsidR="00B37A04" w:rsidRDefault="00B37A04">
      <w:pPr>
        <w:spacing w:after="0" w:line="240" w:lineRule="auto"/>
      </w:pPr>
      <w:r>
        <w:separator/>
      </w:r>
    </w:p>
  </w:footnote>
  <w:footnote w:type="continuationSeparator" w:id="0">
    <w:p w14:paraId="4F91ABF3" w14:textId="77777777" w:rsidR="00B37A04" w:rsidRDefault="00B37A04">
      <w:pPr>
        <w:spacing w:after="0" w:line="240" w:lineRule="auto"/>
      </w:pPr>
      <w:r>
        <w:continuationSeparator/>
      </w:r>
    </w:p>
  </w:footnote>
  <w:footnote w:id="1">
    <w:p w14:paraId="3116450B" w14:textId="77777777" w:rsidR="00FD1C5C" w:rsidRDefault="00B37A04">
      <w:pPr>
        <w:pStyle w:val="Footnote"/>
      </w:pPr>
      <w:r>
        <w:rPr>
          <w:vertAlign w:val="superscript"/>
        </w:rPr>
        <w:footnoteRef/>
      </w:r>
      <w:r>
        <w:t xml:space="preserve"> </w:t>
      </w:r>
      <w:r>
        <w:rPr>
          <w:rFonts w:ascii="Times New Roman" w:hAnsi="Times New Roman"/>
        </w:rPr>
        <w:t>Правила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утвержденные постановлением Правительства Российской Федерации от 27.12.2004 №861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D2E64"/>
    <w:multiLevelType w:val="multilevel"/>
    <w:tmpl w:val="FE1C2266"/>
    <w:lvl w:ilvl="0">
      <w:start w:val="1"/>
      <w:numFmt w:val="bullet"/>
      <w:lvlText w:val=""/>
      <w:lvlJc w:val="left"/>
      <w:pPr>
        <w:widowControl/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1" w15:restartNumberingAfterBreak="0">
    <w:nsid w:val="72113495"/>
    <w:multiLevelType w:val="multilevel"/>
    <w:tmpl w:val="06287D6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78325493">
    <w:abstractNumId w:val="0"/>
  </w:num>
  <w:num w:numId="2" w16cid:durableId="360664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C5C"/>
    <w:rsid w:val="000C3F8B"/>
    <w:rsid w:val="00451EEC"/>
    <w:rsid w:val="00AB5588"/>
    <w:rsid w:val="00B37A04"/>
    <w:rsid w:val="00FD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F0FB6"/>
  <w15:docId w15:val="{02A9ADB4-9BDA-44FF-A2FE-F2A831B06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3">
    <w:name w:val="Нормальный (таблица)"/>
    <w:basedOn w:val="a"/>
    <w:next w:val="a"/>
    <w:link w:val="a4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4">
    <w:name w:val="Нормальный (таблица)"/>
    <w:basedOn w:val="1"/>
    <w:link w:val="a3"/>
    <w:rPr>
      <w:rFonts w:ascii="Arial" w:hAnsi="Arial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Строгий1"/>
    <w:basedOn w:val="13"/>
    <w:link w:val="a5"/>
    <w:rPr>
      <w:b/>
    </w:rPr>
  </w:style>
  <w:style w:type="character" w:styleId="a5">
    <w:name w:val="Strong"/>
    <w:basedOn w:val="a0"/>
    <w:link w:val="12"/>
    <w:rPr>
      <w:b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6">
    <w:name w:val="МРСК_таблица_текст"/>
    <w:basedOn w:val="a"/>
    <w:link w:val="a7"/>
    <w:pPr>
      <w:keepNext/>
      <w:spacing w:after="0" w:line="240" w:lineRule="auto"/>
      <w:jc w:val="both"/>
    </w:pPr>
    <w:rPr>
      <w:rFonts w:ascii="Times New Roman" w:hAnsi="Times New Roman"/>
      <w:sz w:val="20"/>
    </w:rPr>
  </w:style>
  <w:style w:type="character" w:customStyle="1" w:styleId="a7">
    <w:name w:val="МРСК_таблица_текст"/>
    <w:basedOn w:val="1"/>
    <w:link w:val="a6"/>
    <w:rPr>
      <w:rFonts w:ascii="Times New Roman" w:hAnsi="Times New Roman"/>
      <w:sz w:val="20"/>
    </w:rPr>
  </w:style>
  <w:style w:type="paragraph" w:customStyle="1" w:styleId="14">
    <w:name w:val="Номер страницы1"/>
    <w:basedOn w:val="13"/>
    <w:link w:val="a8"/>
  </w:style>
  <w:style w:type="character" w:styleId="a8">
    <w:name w:val="page number"/>
    <w:basedOn w:val="a0"/>
    <w:link w:val="14"/>
  </w:style>
  <w:style w:type="paragraph" w:styleId="a9">
    <w:name w:val="Balloon Text"/>
    <w:basedOn w:val="a"/>
    <w:link w:val="aa"/>
    <w:pPr>
      <w:spacing w:after="0" w:line="240" w:lineRule="auto"/>
    </w:pPr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styleId="ab">
    <w:name w:val="Document Map"/>
    <w:basedOn w:val="a"/>
    <w:link w:val="ac"/>
    <w:pPr>
      <w:spacing w:after="0" w:line="240" w:lineRule="auto"/>
    </w:pPr>
    <w:rPr>
      <w:rFonts w:ascii="Tahoma" w:hAnsi="Tahoma"/>
      <w:sz w:val="16"/>
    </w:rPr>
  </w:style>
  <w:style w:type="character" w:customStyle="1" w:styleId="ac">
    <w:name w:val="Схема документа Знак"/>
    <w:basedOn w:val="1"/>
    <w:link w:val="ab"/>
    <w:rPr>
      <w:rFonts w:ascii="Tahoma" w:hAnsi="Tahoma"/>
      <w:sz w:val="16"/>
    </w:rPr>
  </w:style>
  <w:style w:type="paragraph" w:customStyle="1" w:styleId="13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d">
    <w:link w:val="ae"/>
    <w:semiHidden/>
    <w:unhideWhenUsed/>
    <w:pPr>
      <w:spacing w:after="0" w:line="240" w:lineRule="auto"/>
    </w:pPr>
  </w:style>
  <w:style w:type="character" w:customStyle="1" w:styleId="ae">
    <w:link w:val="ad"/>
    <w:semiHidden/>
    <w:unhideWhenUsed/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5">
    <w:name w:val="Гиперссылка1"/>
    <w:basedOn w:val="13"/>
    <w:link w:val="af"/>
    <w:rPr>
      <w:color w:val="0000FF" w:themeColor="hyperlink"/>
      <w:u w:val="single"/>
    </w:rPr>
  </w:style>
  <w:style w:type="character" w:styleId="af">
    <w:name w:val="Hyperlink"/>
    <w:basedOn w:val="a0"/>
    <w:link w:val="15"/>
    <w:rPr>
      <w:color w:val="0000FF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customStyle="1" w:styleId="ConsPlusNonformat">
    <w:name w:val="ConsPlusNonformat"/>
    <w:link w:val="ConsPlusNonformat0"/>
    <w:pPr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0">
    <w:name w:val="annotation text"/>
    <w:basedOn w:val="a"/>
    <w:link w:val="af1"/>
    <w:pPr>
      <w:spacing w:line="240" w:lineRule="auto"/>
    </w:pPr>
    <w:rPr>
      <w:sz w:val="20"/>
    </w:rPr>
  </w:style>
  <w:style w:type="character" w:customStyle="1" w:styleId="af1">
    <w:name w:val="Текст примечания Знак"/>
    <w:basedOn w:val="1"/>
    <w:link w:val="af0"/>
    <w:rPr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2">
    <w:name w:val="annotation subject"/>
    <w:basedOn w:val="af0"/>
    <w:next w:val="af0"/>
    <w:link w:val="af3"/>
    <w:rPr>
      <w:b/>
    </w:rPr>
  </w:style>
  <w:style w:type="character" w:customStyle="1" w:styleId="af3">
    <w:name w:val="Тема примечания Знак"/>
    <w:basedOn w:val="af1"/>
    <w:link w:val="af2"/>
    <w:rPr>
      <w:b/>
      <w:sz w:val="20"/>
    </w:rPr>
  </w:style>
  <w:style w:type="paragraph" w:styleId="af4">
    <w:name w:val="List Paragraph"/>
    <w:basedOn w:val="a"/>
    <w:link w:val="af5"/>
    <w:pPr>
      <w:ind w:left="720"/>
      <w:contextualSpacing/>
    </w:pPr>
  </w:style>
  <w:style w:type="character" w:customStyle="1" w:styleId="af5">
    <w:name w:val="Абзац списка Знак"/>
    <w:basedOn w:val="1"/>
    <w:link w:val="af4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6">
    <w:name w:val="Subtitle"/>
    <w:next w:val="a"/>
    <w:link w:val="af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sz w:val="24"/>
    </w:rPr>
  </w:style>
  <w:style w:type="paragraph" w:styleId="af8">
    <w:name w:val="Body Text"/>
    <w:basedOn w:val="a"/>
    <w:link w:val="af9"/>
    <w:pPr>
      <w:widowControl w:val="0"/>
      <w:spacing w:after="0" w:line="240" w:lineRule="auto"/>
    </w:pPr>
    <w:rPr>
      <w:rFonts w:ascii="Times New Roman" w:hAnsi="Times New Roman"/>
      <w:sz w:val="20"/>
    </w:rPr>
  </w:style>
  <w:style w:type="character" w:customStyle="1" w:styleId="af9">
    <w:name w:val="Основной текст Знак"/>
    <w:basedOn w:val="1"/>
    <w:link w:val="af8"/>
    <w:rPr>
      <w:rFonts w:ascii="Times New Roman" w:hAnsi="Times New Roman"/>
      <w:sz w:val="20"/>
    </w:rPr>
  </w:style>
  <w:style w:type="paragraph" w:customStyle="1" w:styleId="18">
    <w:name w:val="Знак примечания1"/>
    <w:basedOn w:val="13"/>
    <w:link w:val="afa"/>
    <w:rPr>
      <w:sz w:val="16"/>
    </w:rPr>
  </w:style>
  <w:style w:type="character" w:styleId="afa">
    <w:name w:val="annotation reference"/>
    <w:basedOn w:val="a0"/>
    <w:link w:val="18"/>
    <w:rPr>
      <w:sz w:val="16"/>
    </w:rPr>
  </w:style>
  <w:style w:type="paragraph" w:styleId="afb">
    <w:name w:val="Title"/>
    <w:next w:val="a"/>
    <w:link w:val="af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c">
    <w:name w:val="Заголовок Знак"/>
    <w:link w:val="af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9">
    <w:name w:val="Знак сноски1"/>
    <w:basedOn w:val="13"/>
    <w:link w:val="afd"/>
    <w:rPr>
      <w:vertAlign w:val="superscript"/>
    </w:rPr>
  </w:style>
  <w:style w:type="character" w:styleId="afd">
    <w:name w:val="footnote reference"/>
    <w:basedOn w:val="a0"/>
    <w:link w:val="19"/>
    <w:rPr>
      <w:vertAlign w:val="superscript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Calibri" w:hAnsi="Calibri"/>
      <w:sz w:val="24"/>
    </w:rPr>
  </w:style>
  <w:style w:type="character" w:customStyle="1" w:styleId="Default0">
    <w:name w:val="Default"/>
    <w:link w:val="Default"/>
    <w:rPr>
      <w:rFonts w:ascii="Calibri" w:hAnsi="Calibri"/>
      <w:color w:val="000000"/>
      <w:sz w:val="24"/>
    </w:rPr>
  </w:style>
  <w:style w:type="table" w:customStyle="1" w:styleId="-11">
    <w:name w:val="Светлая заливка - Акцент 11"/>
    <w:basedOn w:val="a1"/>
    <w:pPr>
      <w:spacing w:after="0" w:line="240" w:lineRule="auto"/>
    </w:pPr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</w:style>
  <w:style w:type="table" w:customStyle="1" w:styleId="-110">
    <w:name w:val="Светлый список - Акцент 11"/>
    <w:basedOn w:val="a1"/>
    <w:pPr>
      <w:spacing w:after="0" w:line="240" w:lineRule="auto"/>
    </w:p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</w:style>
  <w:style w:type="character" w:styleId="afe">
    <w:name w:val="Unresolved Mention"/>
    <w:basedOn w:val="a0"/>
    <w:uiPriority w:val="99"/>
    <w:semiHidden/>
    <w:unhideWhenUsed/>
    <w:rsid w:val="00AB55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vrnge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3199</Words>
  <Characters>18239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Киселева Татьяна Анатольевна</dc:creator>
  <cp:lastModifiedBy>Литовченко Роман Владимирович</cp:lastModifiedBy>
  <cp:revision>2</cp:revision>
  <dcterms:created xsi:type="dcterms:W3CDTF">2025-10-29T08:06:00Z</dcterms:created>
  <dcterms:modified xsi:type="dcterms:W3CDTF">2025-10-29T08:06:00Z</dcterms:modified>
</cp:coreProperties>
</file>